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hint="eastAsia" w:ascii="宋体" w:hAnsi="宋体" w:eastAsia="宋体" w:cs="宋体"/>
          <w:b w:val="0"/>
          <w:bCs/>
          <w:sz w:val="44"/>
          <w:szCs w:val="30"/>
        </w:rPr>
      </w:pPr>
      <w:r>
        <w:rPr>
          <w:rFonts w:hint="eastAsia" w:ascii="宋体" w:hAnsi="宋体" w:eastAsia="宋体" w:cs="宋体"/>
          <w:b w:val="0"/>
          <w:bCs/>
          <w:sz w:val="44"/>
          <w:szCs w:val="30"/>
        </w:rPr>
        <w:t>教研管理信息系统</w:t>
      </w:r>
      <w:r>
        <w:rPr>
          <w:rFonts w:hint="eastAsia" w:ascii="宋体" w:hAnsi="宋体" w:cs="宋体"/>
          <w:b w:val="0"/>
          <w:bCs/>
          <w:sz w:val="44"/>
          <w:szCs w:val="30"/>
          <w:lang w:val="en-US" w:eastAsia="zh-CN"/>
        </w:rPr>
        <w:t>委托开发</w:t>
      </w:r>
      <w:r>
        <w:rPr>
          <w:rFonts w:hint="eastAsia" w:ascii="宋体" w:hAnsi="宋体" w:eastAsia="宋体" w:cs="宋体"/>
          <w:b w:val="0"/>
          <w:bCs/>
          <w:sz w:val="44"/>
          <w:szCs w:val="30"/>
        </w:rPr>
        <w:t>项目需求</w:t>
      </w:r>
    </w:p>
    <w:p>
      <w:pPr>
        <w:pStyle w:val="3"/>
        <w:numPr>
          <w:ilvl w:val="0"/>
          <w:numId w:val="0"/>
        </w:numPr>
        <w:spacing w:before="0" w:after="0"/>
        <w:rPr>
          <w:rFonts w:hint="eastAsia" w:ascii="宋体" w:hAnsi="宋体" w:eastAsia="宋体" w:cs="宋体"/>
          <w:b w:val="0"/>
          <w:bCs/>
          <w:sz w:val="32"/>
          <w:szCs w:val="32"/>
        </w:rPr>
      </w:pPr>
      <w:r>
        <w:rPr>
          <w:rFonts w:hint="eastAsia" w:ascii="宋体" w:hAnsi="宋体" w:eastAsia="宋体" w:cs="宋体"/>
          <w:b w:val="0"/>
          <w:bCs/>
          <w:sz w:val="32"/>
          <w:szCs w:val="32"/>
          <w:lang w:val="en-US"/>
        </w:rPr>
        <w:t>一、</w:t>
      </w:r>
      <w:r>
        <w:rPr>
          <w:rFonts w:hint="eastAsia" w:ascii="宋体" w:hAnsi="宋体" w:eastAsia="宋体" w:cs="宋体"/>
          <w:b w:val="0"/>
          <w:bCs/>
          <w:sz w:val="32"/>
          <w:szCs w:val="32"/>
        </w:rPr>
        <w:t>项目名称</w:t>
      </w:r>
    </w:p>
    <w:p>
      <w:pPr>
        <w:spacing w:line="360" w:lineRule="auto"/>
        <w:ind w:left="432"/>
        <w:rPr>
          <w:rFonts w:hint="eastAsia" w:ascii="宋体" w:hAnsi="宋体" w:eastAsia="宋体" w:cs="宋体"/>
          <w:b w:val="0"/>
          <w:bCs/>
          <w:sz w:val="22"/>
          <w:lang w:eastAsia="zh-CN"/>
        </w:rPr>
      </w:pPr>
      <w:r>
        <w:rPr>
          <w:rFonts w:hint="eastAsia" w:ascii="宋体" w:hAnsi="宋体" w:eastAsia="宋体" w:cs="宋体"/>
          <w:b w:val="0"/>
          <w:bCs/>
          <w:sz w:val="22"/>
        </w:rPr>
        <w:t>项目名称：教研管理信息系统</w:t>
      </w:r>
      <w:r>
        <w:rPr>
          <w:rFonts w:hint="eastAsia" w:ascii="宋体" w:hAnsi="宋体" w:cs="宋体"/>
          <w:b w:val="0"/>
          <w:bCs/>
          <w:sz w:val="22"/>
          <w:lang w:val="en-US" w:eastAsia="zh-CN"/>
        </w:rPr>
        <w:t>委托开发</w:t>
      </w:r>
      <w:r>
        <w:rPr>
          <w:rFonts w:hint="eastAsia" w:ascii="宋体" w:hAnsi="宋体" w:eastAsia="宋体" w:cs="宋体"/>
          <w:b w:val="0"/>
          <w:bCs/>
          <w:sz w:val="22"/>
        </w:rPr>
        <w:t>项目</w:t>
      </w:r>
      <w:r>
        <w:rPr>
          <w:rFonts w:hint="eastAsia" w:ascii="宋体" w:hAnsi="宋体" w:cs="宋体"/>
          <w:b w:val="0"/>
          <w:bCs/>
          <w:sz w:val="22"/>
          <w:lang w:eastAsia="zh-CN"/>
        </w:rPr>
        <w:t>（</w:t>
      </w:r>
      <w:r>
        <w:rPr>
          <w:rFonts w:hint="eastAsia" w:ascii="宋体" w:hAnsi="宋体" w:cs="宋体"/>
          <w:b w:val="0"/>
          <w:bCs/>
          <w:sz w:val="22"/>
          <w:lang w:val="en-US" w:eastAsia="zh-CN"/>
        </w:rPr>
        <w:t>2023年</w:t>
      </w:r>
      <w:r>
        <w:rPr>
          <w:rFonts w:hint="eastAsia" w:ascii="宋体" w:hAnsi="宋体" w:cs="宋体"/>
          <w:b w:val="0"/>
          <w:bCs/>
          <w:sz w:val="22"/>
          <w:lang w:eastAsia="zh-CN"/>
        </w:rPr>
        <w:t>）</w:t>
      </w:r>
    </w:p>
    <w:p>
      <w:pPr>
        <w:spacing w:line="360" w:lineRule="auto"/>
        <w:ind w:left="432"/>
        <w:rPr>
          <w:rFonts w:hint="eastAsia" w:ascii="宋体" w:hAnsi="宋体" w:eastAsia="宋体" w:cs="宋体"/>
          <w:b w:val="0"/>
          <w:bCs/>
          <w:sz w:val="22"/>
        </w:rPr>
      </w:pPr>
    </w:p>
    <w:p>
      <w:pPr>
        <w:pStyle w:val="3"/>
        <w:numPr>
          <w:ilvl w:val="0"/>
          <w:numId w:val="0"/>
        </w:numPr>
        <w:spacing w:before="0" w:after="0"/>
        <w:rPr>
          <w:rFonts w:hint="eastAsia" w:ascii="宋体" w:hAnsi="宋体" w:eastAsia="宋体" w:cs="宋体"/>
          <w:b w:val="0"/>
          <w:bCs/>
          <w:sz w:val="32"/>
          <w:szCs w:val="32"/>
        </w:rPr>
      </w:pPr>
      <w:r>
        <w:rPr>
          <w:rFonts w:hint="eastAsia" w:ascii="宋体" w:hAnsi="宋体" w:eastAsia="宋体" w:cs="宋体"/>
          <w:b w:val="0"/>
          <w:bCs/>
          <w:sz w:val="32"/>
          <w:szCs w:val="32"/>
          <w:lang w:val="en-US"/>
        </w:rPr>
        <w:t>二、</w:t>
      </w:r>
      <w:r>
        <w:rPr>
          <w:rFonts w:hint="eastAsia" w:ascii="宋体" w:hAnsi="宋体" w:eastAsia="宋体" w:cs="宋体"/>
          <w:b w:val="0"/>
          <w:bCs/>
          <w:sz w:val="32"/>
          <w:szCs w:val="32"/>
        </w:rPr>
        <w:t>项目内容</w:t>
      </w:r>
    </w:p>
    <w:p>
      <w:pPr>
        <w:rPr>
          <w:rFonts w:hint="eastAsia" w:ascii="宋体" w:hAnsi="宋体" w:eastAsia="宋体" w:cs="宋体"/>
          <w:b w:val="0"/>
          <w:bCs/>
        </w:rPr>
      </w:pPr>
      <w:r>
        <w:rPr>
          <w:rFonts w:hint="eastAsia" w:ascii="宋体" w:hAnsi="宋体" w:eastAsia="宋体" w:cs="宋体"/>
          <w:b w:val="0"/>
          <w:bCs/>
        </w:rPr>
        <w:t>项目功能如下：</w:t>
      </w:r>
    </w:p>
    <w:tbl>
      <w:tblPr>
        <w:tblStyle w:val="2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75"/>
        <w:gridCol w:w="3828"/>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75" w:type="dxa"/>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序号</w:t>
            </w:r>
          </w:p>
        </w:tc>
        <w:tc>
          <w:tcPr>
            <w:tcW w:w="3828" w:type="dxa"/>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系统名称</w:t>
            </w:r>
          </w:p>
        </w:tc>
        <w:tc>
          <w:tcPr>
            <w:tcW w:w="4536" w:type="dxa"/>
            <w:vAlign w:val="center"/>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widowControl/>
              <w:jc w:val="center"/>
              <w:textAlignment w:val="center"/>
              <w:rPr>
                <w:rFonts w:hint="eastAsia" w:ascii="宋体" w:hAnsi="宋体" w:eastAsia="宋体" w:cs="宋体"/>
                <w:b w:val="0"/>
                <w:bCs/>
                <w:color w:val="000000"/>
                <w:kern w:val="0"/>
                <w:sz w:val="22"/>
                <w:szCs w:val="22"/>
                <w:lang w:bidi="ar"/>
              </w:rPr>
            </w:pPr>
            <w:r>
              <w:rPr>
                <w:rFonts w:hint="eastAsia" w:ascii="宋体" w:hAnsi="宋体" w:eastAsia="宋体" w:cs="宋体"/>
                <w:b w:val="0"/>
                <w:bCs/>
                <w:color w:val="000000"/>
                <w:kern w:val="0"/>
                <w:sz w:val="22"/>
                <w:szCs w:val="22"/>
                <w:lang w:bidi="ar"/>
              </w:rPr>
              <w:t>1</w:t>
            </w:r>
          </w:p>
        </w:tc>
        <w:tc>
          <w:tcPr>
            <w:tcW w:w="3828" w:type="dxa"/>
            <w:vAlign w:val="center"/>
          </w:tcPr>
          <w:p>
            <w:pPr>
              <w:widowControl/>
              <w:textAlignment w:val="center"/>
              <w:rPr>
                <w:rFonts w:hint="eastAsia" w:ascii="宋体" w:hAnsi="宋体" w:eastAsia="宋体" w:cs="宋体"/>
                <w:b w:val="0"/>
                <w:bCs/>
                <w:color w:val="000000"/>
                <w:kern w:val="0"/>
                <w:sz w:val="22"/>
                <w:szCs w:val="22"/>
                <w:lang w:bidi="ar"/>
              </w:rPr>
            </w:pPr>
            <w:r>
              <w:rPr>
                <w:rFonts w:hint="eastAsia" w:ascii="宋体" w:hAnsi="宋体" w:eastAsia="宋体" w:cs="宋体"/>
                <w:b w:val="0"/>
                <w:bCs/>
                <w:color w:val="000000"/>
                <w:kern w:val="0"/>
                <w:sz w:val="22"/>
                <w:szCs w:val="22"/>
                <w:lang w:bidi="ar"/>
              </w:rPr>
              <w:t>研究生管理子系统</w:t>
            </w:r>
          </w:p>
        </w:tc>
        <w:tc>
          <w:tcPr>
            <w:tcW w:w="4536" w:type="dxa"/>
            <w:vAlign w:val="center"/>
          </w:tcPr>
          <w:p>
            <w:pPr>
              <w:rPr>
                <w:rFonts w:hint="eastAsia" w:ascii="宋体" w:hAnsi="宋体" w:eastAsia="宋体" w:cs="宋体"/>
                <w:b w:val="0"/>
                <w:bCs/>
                <w:sz w:val="22"/>
                <w:szCs w:val="22"/>
              </w:rPr>
            </w:pPr>
            <w:r>
              <w:rPr>
                <w:rFonts w:hint="eastAsia" w:ascii="宋体" w:hAnsi="宋体" w:eastAsia="宋体" w:cs="宋体"/>
                <w:b w:val="0"/>
                <w:bCs/>
                <w:sz w:val="22"/>
                <w:szCs w:val="22"/>
              </w:rPr>
              <w:t>详见3.1详细功能描述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675" w:type="dxa"/>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2</w:t>
            </w:r>
          </w:p>
        </w:tc>
        <w:tc>
          <w:tcPr>
            <w:tcW w:w="3828" w:type="dxa"/>
            <w:vAlign w:val="center"/>
          </w:tcPr>
          <w:p>
            <w:pPr>
              <w:widowControl/>
              <w:textAlignment w:val="center"/>
              <w:rPr>
                <w:rFonts w:hint="eastAsia" w:ascii="宋体" w:hAnsi="宋体" w:eastAsia="宋体" w:cs="宋体"/>
                <w:b w:val="0"/>
                <w:bCs/>
                <w:sz w:val="22"/>
                <w:szCs w:val="22"/>
                <w:lang w:eastAsia="zh-CN"/>
              </w:rPr>
            </w:pPr>
            <w:r>
              <w:rPr>
                <w:rFonts w:hint="eastAsia" w:ascii="宋体" w:hAnsi="宋体" w:cs="宋体"/>
                <w:b w:val="0"/>
                <w:bCs/>
                <w:color w:val="000000"/>
                <w:kern w:val="0"/>
                <w:sz w:val="22"/>
                <w:szCs w:val="22"/>
                <w:lang w:eastAsia="zh-CN" w:bidi="ar"/>
              </w:rPr>
              <w:t>考勤管理子系统</w:t>
            </w:r>
          </w:p>
        </w:tc>
        <w:tc>
          <w:tcPr>
            <w:tcW w:w="4536" w:type="dxa"/>
            <w:vAlign w:val="center"/>
          </w:tcPr>
          <w:p>
            <w:pPr>
              <w:rPr>
                <w:rFonts w:hint="eastAsia" w:ascii="宋体" w:hAnsi="宋体" w:eastAsia="宋体" w:cs="宋体"/>
                <w:b w:val="0"/>
                <w:bCs/>
                <w:sz w:val="22"/>
                <w:szCs w:val="22"/>
              </w:rPr>
            </w:pPr>
            <w:r>
              <w:rPr>
                <w:rFonts w:hint="eastAsia" w:ascii="宋体" w:hAnsi="宋体" w:eastAsia="宋体" w:cs="宋体"/>
                <w:b w:val="0"/>
                <w:bCs/>
                <w:sz w:val="22"/>
                <w:szCs w:val="22"/>
              </w:rPr>
              <w:t>详见3.</w:t>
            </w:r>
            <w:r>
              <w:rPr>
                <w:rFonts w:hint="eastAsia" w:ascii="宋体" w:hAnsi="宋体" w:eastAsia="宋体" w:cs="宋体"/>
                <w:b w:val="0"/>
                <w:bCs/>
                <w:sz w:val="22"/>
                <w:szCs w:val="22"/>
                <w:lang w:val="en-US" w:eastAsia="zh-CN"/>
              </w:rPr>
              <w:t>2</w:t>
            </w:r>
            <w:r>
              <w:rPr>
                <w:rFonts w:hint="eastAsia" w:ascii="宋体" w:hAnsi="宋体" w:eastAsia="宋体" w:cs="宋体"/>
                <w:b w:val="0"/>
                <w:bCs/>
                <w:sz w:val="22"/>
                <w:szCs w:val="22"/>
              </w:rPr>
              <w:t>详细功能描述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3</w:t>
            </w:r>
          </w:p>
        </w:tc>
        <w:tc>
          <w:tcPr>
            <w:tcW w:w="3828" w:type="dxa"/>
            <w:vAlign w:val="center"/>
          </w:tcPr>
          <w:p>
            <w:pPr>
              <w:widowControl/>
              <w:textAlignment w:val="center"/>
              <w:rPr>
                <w:rFonts w:hint="eastAsia" w:ascii="宋体" w:hAnsi="宋体" w:eastAsia="宋体" w:cs="宋体"/>
                <w:b w:val="0"/>
                <w:bCs/>
                <w:sz w:val="22"/>
                <w:szCs w:val="22"/>
              </w:rPr>
            </w:pPr>
            <w:r>
              <w:rPr>
                <w:rFonts w:hint="eastAsia" w:ascii="宋体" w:hAnsi="宋体" w:eastAsia="宋体" w:cs="宋体"/>
                <w:b w:val="0"/>
                <w:bCs/>
                <w:color w:val="000000"/>
                <w:kern w:val="0"/>
                <w:sz w:val="22"/>
                <w:szCs w:val="22"/>
                <w:lang w:bidi="ar"/>
              </w:rPr>
              <w:t>博士后管理子系统</w:t>
            </w:r>
          </w:p>
        </w:tc>
        <w:tc>
          <w:tcPr>
            <w:tcW w:w="4536" w:type="dxa"/>
            <w:vAlign w:val="center"/>
          </w:tcPr>
          <w:p>
            <w:pPr>
              <w:rPr>
                <w:rFonts w:hint="eastAsia" w:ascii="宋体" w:hAnsi="宋体" w:eastAsia="宋体" w:cs="宋体"/>
                <w:b w:val="0"/>
                <w:bCs/>
                <w:sz w:val="22"/>
                <w:szCs w:val="22"/>
              </w:rPr>
            </w:pPr>
            <w:r>
              <w:rPr>
                <w:rFonts w:hint="eastAsia" w:ascii="宋体" w:hAnsi="宋体" w:eastAsia="宋体" w:cs="宋体"/>
                <w:b w:val="0"/>
                <w:bCs/>
                <w:sz w:val="22"/>
                <w:szCs w:val="22"/>
              </w:rPr>
              <w:t>详见3.</w:t>
            </w:r>
            <w:r>
              <w:rPr>
                <w:rFonts w:hint="eastAsia" w:ascii="宋体" w:hAnsi="宋体" w:eastAsia="宋体" w:cs="宋体"/>
                <w:b w:val="0"/>
                <w:bCs/>
                <w:sz w:val="22"/>
                <w:szCs w:val="22"/>
                <w:lang w:val="en-US" w:eastAsia="zh-CN"/>
              </w:rPr>
              <w:t>3</w:t>
            </w:r>
            <w:r>
              <w:rPr>
                <w:rFonts w:hint="eastAsia" w:ascii="宋体" w:hAnsi="宋体" w:eastAsia="宋体" w:cs="宋体"/>
                <w:b w:val="0"/>
                <w:bCs/>
                <w:sz w:val="22"/>
                <w:szCs w:val="22"/>
              </w:rPr>
              <w:t>详细功能描述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Pr>
          <w:p>
            <w:pPr>
              <w:jc w:val="center"/>
              <w:rPr>
                <w:rFonts w:hint="eastAsia" w:ascii="宋体" w:hAnsi="宋体" w:eastAsia="宋体" w:cs="宋体"/>
                <w:b w:val="0"/>
                <w:bCs/>
                <w:sz w:val="22"/>
                <w:szCs w:val="22"/>
              </w:rPr>
            </w:pPr>
            <w:r>
              <w:rPr>
                <w:rFonts w:hint="eastAsia" w:ascii="宋体" w:hAnsi="宋体" w:eastAsia="宋体" w:cs="宋体"/>
                <w:b w:val="0"/>
                <w:bCs/>
                <w:sz w:val="22"/>
                <w:szCs w:val="22"/>
              </w:rPr>
              <w:t>4</w:t>
            </w:r>
          </w:p>
        </w:tc>
        <w:tc>
          <w:tcPr>
            <w:tcW w:w="3828" w:type="dxa"/>
            <w:vAlign w:val="center"/>
          </w:tcPr>
          <w:p>
            <w:pPr>
              <w:widowControl/>
              <w:textAlignment w:val="center"/>
              <w:rPr>
                <w:rFonts w:hint="eastAsia" w:ascii="宋体" w:hAnsi="宋体" w:eastAsia="宋体" w:cs="宋体"/>
                <w:b w:val="0"/>
                <w:bCs/>
                <w:sz w:val="22"/>
                <w:szCs w:val="22"/>
              </w:rPr>
            </w:pPr>
            <w:r>
              <w:rPr>
                <w:rFonts w:hint="eastAsia" w:ascii="宋体" w:hAnsi="宋体" w:eastAsia="宋体" w:cs="宋体"/>
                <w:b w:val="0"/>
                <w:bCs/>
                <w:color w:val="000000"/>
                <w:kern w:val="0"/>
                <w:sz w:val="22"/>
                <w:szCs w:val="22"/>
                <w:lang w:bidi="ar"/>
              </w:rPr>
              <w:t>进修生管理子系统</w:t>
            </w:r>
          </w:p>
        </w:tc>
        <w:tc>
          <w:tcPr>
            <w:tcW w:w="4536" w:type="dxa"/>
            <w:vAlign w:val="center"/>
          </w:tcPr>
          <w:p>
            <w:pPr>
              <w:rPr>
                <w:rFonts w:hint="eastAsia" w:ascii="宋体" w:hAnsi="宋体" w:eastAsia="宋体" w:cs="宋体"/>
                <w:b w:val="0"/>
                <w:bCs/>
                <w:sz w:val="22"/>
                <w:szCs w:val="22"/>
              </w:rPr>
            </w:pPr>
            <w:r>
              <w:rPr>
                <w:rFonts w:hint="eastAsia" w:ascii="宋体" w:hAnsi="宋体" w:eastAsia="宋体" w:cs="宋体"/>
                <w:b w:val="0"/>
                <w:bCs/>
                <w:sz w:val="22"/>
                <w:szCs w:val="22"/>
              </w:rPr>
              <w:t>详见3.</w:t>
            </w:r>
            <w:r>
              <w:rPr>
                <w:rFonts w:hint="eastAsia" w:ascii="宋体" w:hAnsi="宋体" w:eastAsia="宋体" w:cs="宋体"/>
                <w:b w:val="0"/>
                <w:bCs/>
                <w:sz w:val="22"/>
                <w:szCs w:val="22"/>
                <w:lang w:val="en-US" w:eastAsia="zh-CN"/>
              </w:rPr>
              <w:t>4</w:t>
            </w:r>
            <w:r>
              <w:rPr>
                <w:rFonts w:hint="eastAsia" w:ascii="宋体" w:hAnsi="宋体" w:eastAsia="宋体" w:cs="宋体"/>
                <w:b w:val="0"/>
                <w:bCs/>
                <w:sz w:val="22"/>
                <w:szCs w:val="22"/>
              </w:rPr>
              <w:t>详细功能描述</w:t>
            </w:r>
          </w:p>
        </w:tc>
      </w:tr>
    </w:tbl>
    <w:p>
      <w:pPr>
        <w:pStyle w:val="50"/>
        <w:keepNext/>
        <w:keepLines/>
        <w:numPr>
          <w:ilvl w:val="0"/>
          <w:numId w:val="1"/>
        </w:numPr>
        <w:spacing w:line="578" w:lineRule="auto"/>
        <w:ind w:firstLineChars="0"/>
        <w:outlineLvl w:val="0"/>
        <w:rPr>
          <w:rFonts w:hint="eastAsia" w:ascii="宋体" w:hAnsi="宋体" w:eastAsia="宋体" w:cs="宋体"/>
          <w:b w:val="0"/>
          <w:bCs/>
          <w:vanish/>
          <w:kern w:val="44"/>
          <w:sz w:val="44"/>
          <w:szCs w:val="44"/>
        </w:rPr>
      </w:pPr>
    </w:p>
    <w:p>
      <w:pPr>
        <w:pStyle w:val="50"/>
        <w:keepNext/>
        <w:keepLines/>
        <w:numPr>
          <w:ilvl w:val="0"/>
          <w:numId w:val="1"/>
        </w:numPr>
        <w:spacing w:line="578" w:lineRule="auto"/>
        <w:ind w:firstLineChars="0"/>
        <w:outlineLvl w:val="0"/>
        <w:rPr>
          <w:rFonts w:hint="eastAsia" w:ascii="宋体" w:hAnsi="宋体" w:eastAsia="宋体" w:cs="宋体"/>
          <w:b w:val="0"/>
          <w:bCs/>
          <w:vanish/>
          <w:kern w:val="44"/>
          <w:sz w:val="44"/>
          <w:szCs w:val="44"/>
        </w:rPr>
      </w:pPr>
    </w:p>
    <w:p>
      <w:pPr>
        <w:pStyle w:val="50"/>
        <w:keepNext/>
        <w:keepLines/>
        <w:numPr>
          <w:ilvl w:val="0"/>
          <w:numId w:val="1"/>
        </w:numPr>
        <w:spacing w:line="578" w:lineRule="auto"/>
        <w:ind w:firstLineChars="0"/>
        <w:outlineLvl w:val="0"/>
        <w:rPr>
          <w:rFonts w:hint="eastAsia" w:ascii="宋体" w:hAnsi="宋体" w:eastAsia="宋体" w:cs="宋体"/>
          <w:b w:val="0"/>
          <w:bCs/>
          <w:vanish/>
          <w:kern w:val="44"/>
          <w:sz w:val="44"/>
          <w:szCs w:val="44"/>
        </w:rPr>
      </w:pPr>
    </w:p>
    <w:p>
      <w:pPr>
        <w:pStyle w:val="50"/>
        <w:keepNext/>
        <w:keepLines/>
        <w:numPr>
          <w:ilvl w:val="1"/>
          <w:numId w:val="1"/>
        </w:numPr>
        <w:spacing w:line="578" w:lineRule="auto"/>
        <w:ind w:firstLineChars="0"/>
        <w:outlineLvl w:val="0"/>
        <w:rPr>
          <w:rFonts w:hint="eastAsia" w:ascii="宋体" w:hAnsi="宋体" w:eastAsia="宋体" w:cs="宋体"/>
          <w:b w:val="0"/>
          <w:bCs/>
          <w:vanish/>
          <w:kern w:val="44"/>
          <w:sz w:val="44"/>
          <w:szCs w:val="44"/>
        </w:rPr>
      </w:pPr>
    </w:p>
    <w:p>
      <w:pPr>
        <w:pStyle w:val="3"/>
        <w:numPr>
          <w:ilvl w:val="0"/>
          <w:numId w:val="0"/>
        </w:numPr>
        <w:spacing w:before="0" w:after="0"/>
        <w:ind w:left="432"/>
        <w:rPr>
          <w:rFonts w:hint="eastAsia" w:ascii="宋体" w:hAnsi="宋体" w:eastAsia="宋体" w:cs="宋体"/>
          <w:b w:val="0"/>
          <w:bCs/>
          <w:sz w:val="22"/>
          <w:szCs w:val="22"/>
        </w:rPr>
      </w:pPr>
    </w:p>
    <w:p>
      <w:pPr>
        <w:pStyle w:val="3"/>
        <w:numPr>
          <w:ilvl w:val="0"/>
          <w:numId w:val="0"/>
        </w:numPr>
        <w:spacing w:before="0" w:after="0"/>
        <w:rPr>
          <w:rFonts w:hint="eastAsia" w:ascii="宋体" w:hAnsi="宋体" w:eastAsia="宋体" w:cs="宋体"/>
          <w:b w:val="0"/>
          <w:bCs/>
          <w:sz w:val="32"/>
          <w:szCs w:val="32"/>
        </w:rPr>
      </w:pPr>
      <w:r>
        <w:rPr>
          <w:rFonts w:hint="eastAsia" w:ascii="宋体" w:hAnsi="宋体" w:eastAsia="宋体" w:cs="宋体"/>
          <w:b w:val="0"/>
          <w:bCs/>
          <w:sz w:val="32"/>
          <w:szCs w:val="32"/>
          <w:lang w:val="en-US"/>
        </w:rPr>
        <w:t>三、</w:t>
      </w:r>
      <w:r>
        <w:rPr>
          <w:rFonts w:hint="eastAsia" w:ascii="宋体" w:hAnsi="宋体" w:eastAsia="宋体" w:cs="宋体"/>
          <w:b w:val="0"/>
          <w:bCs/>
          <w:sz w:val="32"/>
          <w:szCs w:val="32"/>
        </w:rPr>
        <w:t>详细功能描述</w:t>
      </w:r>
    </w:p>
    <w:p>
      <w:pPr>
        <w:pStyle w:val="4"/>
        <w:spacing w:before="0" w:after="0"/>
        <w:rPr>
          <w:rFonts w:hint="eastAsia" w:ascii="宋体" w:hAnsi="宋体" w:eastAsia="宋体" w:cs="宋体"/>
          <w:b w:val="0"/>
          <w:bCs/>
          <w:sz w:val="24"/>
          <w:szCs w:val="24"/>
          <w:lang w:val="en-US" w:eastAsia="zh-CN"/>
        </w:rPr>
      </w:pPr>
      <w:bookmarkStart w:id="0" w:name="_6.1.1、大数据服务器"/>
      <w:bookmarkEnd w:id="0"/>
      <w:r>
        <w:rPr>
          <w:rFonts w:hint="eastAsia" w:ascii="宋体" w:hAnsi="宋体" w:eastAsia="宋体" w:cs="宋体"/>
          <w:b w:val="0"/>
          <w:bCs/>
          <w:sz w:val="24"/>
          <w:szCs w:val="24"/>
        </w:rPr>
        <w:t>3.1、</w:t>
      </w:r>
      <w:r>
        <w:rPr>
          <w:rFonts w:hint="eastAsia" w:ascii="宋体" w:hAnsi="宋体" w:eastAsia="宋体" w:cs="宋体"/>
          <w:b w:val="0"/>
          <w:bCs/>
          <w:sz w:val="24"/>
          <w:szCs w:val="24"/>
          <w:lang w:val="en-US"/>
        </w:rPr>
        <w:t>研究生管理子系统</w:t>
      </w:r>
    </w:p>
    <w:tbl>
      <w:tblPr>
        <w:tblStyle w:val="20"/>
        <w:tblpPr w:leftFromText="180" w:rightFromText="180" w:vertAnchor="text" w:horzAnchor="page" w:tblpX="1399" w:tblpY="137"/>
        <w:tblOverlap w:val="never"/>
        <w:tblW w:w="92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8"/>
        <w:gridCol w:w="1215"/>
        <w:gridCol w:w="72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序号</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功能模块</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1</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招生管理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numPr>
                <w:ilvl w:val="0"/>
                <w:numId w:val="3"/>
              </w:numP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对研究生招生过程管理，包括招生目录编制、硕士</w:t>
            </w:r>
            <w:r>
              <w:rPr>
                <w:rFonts w:hint="eastAsia" w:ascii="宋体" w:hAnsi="宋体" w:cs="宋体"/>
                <w:b w:val="0"/>
                <w:bCs/>
                <w:i w:val="0"/>
                <w:iCs w:val="0"/>
                <w:color w:val="000000"/>
                <w:kern w:val="0"/>
                <w:sz w:val="22"/>
                <w:szCs w:val="22"/>
                <w:highlight w:val="none"/>
                <w:u w:val="none"/>
                <w:lang w:val="en-US" w:eastAsia="zh-CN" w:bidi="ar"/>
              </w:rPr>
              <w:t>和博士研究生</w:t>
            </w:r>
            <w:r>
              <w:rPr>
                <w:rFonts w:hint="eastAsia" w:ascii="宋体" w:hAnsi="宋体" w:eastAsia="宋体" w:cs="宋体"/>
                <w:b w:val="0"/>
                <w:bCs/>
                <w:i w:val="0"/>
                <w:iCs w:val="0"/>
                <w:color w:val="000000"/>
                <w:kern w:val="0"/>
                <w:sz w:val="22"/>
                <w:szCs w:val="22"/>
                <w:highlight w:val="none"/>
                <w:u w:val="none"/>
                <w:lang w:val="en-US" w:eastAsia="zh-CN" w:bidi="ar"/>
              </w:rPr>
              <w:t>报名、硕士初试、复试、推免管理（夏令营、内推、外推）、考生成绩管理、预调剂管理、复试管理、调剂管理、录取管理、数据导出、设置专业目录及自命题</w:t>
            </w:r>
            <w:r>
              <w:rPr>
                <w:rFonts w:hint="eastAsia" w:ascii="宋体" w:hAnsi="宋体" w:cs="宋体"/>
                <w:b w:val="0"/>
                <w:bCs/>
                <w:i w:val="0"/>
                <w:iCs w:val="0"/>
                <w:color w:val="000000"/>
                <w:kern w:val="0"/>
                <w:sz w:val="22"/>
                <w:szCs w:val="22"/>
                <w:highlight w:val="none"/>
                <w:u w:val="none"/>
                <w:lang w:val="en-US" w:eastAsia="zh-CN" w:bidi="ar"/>
              </w:rPr>
              <w:t>、导师宣传</w:t>
            </w:r>
            <w:r>
              <w:rPr>
                <w:rFonts w:hint="eastAsia" w:ascii="宋体" w:hAnsi="宋体" w:eastAsia="宋体" w:cs="宋体"/>
                <w:b w:val="0"/>
                <w:bCs/>
                <w:i w:val="0"/>
                <w:iCs w:val="0"/>
                <w:color w:val="000000"/>
                <w:kern w:val="0"/>
                <w:sz w:val="22"/>
                <w:szCs w:val="22"/>
                <w:highlight w:val="none"/>
                <w:u w:val="none"/>
                <w:lang w:val="en-US" w:eastAsia="zh-CN" w:bidi="ar"/>
              </w:rPr>
              <w:t>等功能。</w:t>
            </w:r>
          </w:p>
          <w:p>
            <w:pPr>
              <w:numPr>
                <w:ilvl w:val="0"/>
                <w:numId w:val="3"/>
              </w:numP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提供电脑端与手机端应用：电脑端与手机端数据应保持一致，考生可通过手机端查询招生信息 及导师风采简介、提供学生查初试复试成绩的功能、录取查询功能、提供院系查询功能、专业查询功能、导师查看功能；提供查看通知公告的功能；提供在线问答的功能。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2</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学籍管理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0"/>
              </w:numPr>
              <w:suppressLineNumbers w:val="0"/>
              <w:ind w:left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对学生入学、在校的过程管理。包括新生入学、注册、欠费、学籍、在校、学籍变更等信息进行管理并提供满足日常及管理需要的统计功能、维护功能。</w:t>
            </w:r>
          </w:p>
          <w:p>
            <w:pPr>
              <w:keepNext w:val="0"/>
              <w:keepLines w:val="0"/>
              <w:widowControl/>
              <w:numPr>
                <w:ilvl w:val="0"/>
                <w:numId w:val="4"/>
              </w:numPr>
              <w:suppressLineNumbers w:val="0"/>
              <w:ind w:left="425" w:leftChars="0" w:hanging="425" w:firstLineChars="0"/>
              <w:jc w:val="left"/>
              <w:textAlignment w:val="center"/>
              <w:rPr>
                <w:rStyle w:val="66"/>
                <w:rFonts w:hint="eastAsia" w:ascii="宋体" w:hAnsi="宋体" w:eastAsia="宋体" w:cs="宋体"/>
                <w:b w:val="0"/>
                <w:bCs/>
                <w:color w:val="000000"/>
                <w:highlight w:val="none"/>
                <w:lang w:val="en-US" w:eastAsia="zh-CN" w:bidi="ar"/>
              </w:rPr>
            </w:pPr>
            <w:r>
              <w:rPr>
                <w:rStyle w:val="66"/>
                <w:rFonts w:hint="eastAsia" w:ascii="宋体" w:hAnsi="宋体" w:eastAsia="宋体" w:cs="宋体"/>
                <w:b w:val="0"/>
                <w:bCs/>
                <w:color w:val="000000"/>
                <w:highlight w:val="none"/>
                <w:lang w:val="en-US" w:eastAsia="zh-CN" w:bidi="ar"/>
              </w:rPr>
              <w:t>支持新生报到、人脸比对、新生入学信息核对。</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支持新生数据直接导入学籍系统进行学号编排工作；支持批量上传照片，并以学号或身份证号命名的图片自动关联。</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支持学生通过电脑端及手机端进行学生个人信息维护、学生注册、报到管理、在读证明打印、学籍变更申请、查询等功能</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支持管理端通过学生基本信息、就读信息、学生类别对学籍信息进行筛查，并支持结果导出</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支持与院方相关对研究生管理的财务系统进行对接；</w:t>
            </w:r>
            <w:r>
              <w:rPr>
                <w:rStyle w:val="67"/>
                <w:rFonts w:hint="eastAsia" w:ascii="宋体" w:hAnsi="宋体" w:eastAsia="宋体" w:cs="宋体"/>
                <w:b w:val="0"/>
                <w:bCs/>
                <w:color w:val="000000"/>
                <w:highlight w:val="none"/>
                <w:lang w:val="en-US" w:eastAsia="zh-CN" w:bidi="ar"/>
              </w:rPr>
              <w:t>支持导入学生缴费数据</w:t>
            </w:r>
            <w:r>
              <w:rPr>
                <w:rStyle w:val="66"/>
                <w:rFonts w:hint="eastAsia" w:ascii="宋体" w:hAnsi="宋体" w:eastAsia="宋体" w:cs="宋体"/>
                <w:b w:val="0"/>
                <w:bCs/>
                <w:color w:val="000000"/>
                <w:highlight w:val="none"/>
                <w:lang w:val="en-US" w:eastAsia="zh-CN" w:bidi="ar"/>
              </w:rPr>
              <w:t>，由系统自动更新学生缴费与欠费情况，可根据欠费设置限定个人操作功能</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支持学生对系统个人信息的维护，提供个人基本信息、学业信息、联系简历、学历学前信息、论文获奖等信息录入及修改功能，并支持个人上传照片；</w:t>
            </w:r>
          </w:p>
          <w:p>
            <w:pPr>
              <w:keepNext w:val="0"/>
              <w:keepLines w:val="0"/>
              <w:widowControl/>
              <w:numPr>
                <w:ilvl w:val="0"/>
                <w:numId w:val="4"/>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Style w:val="66"/>
                <w:rFonts w:hint="eastAsia" w:ascii="宋体" w:hAnsi="宋体" w:eastAsia="宋体" w:cs="宋体"/>
                <w:b w:val="0"/>
                <w:bCs/>
                <w:color w:val="000000"/>
                <w:highlight w:val="none"/>
                <w:lang w:val="en-US" w:eastAsia="zh-CN" w:bidi="ar"/>
              </w:rPr>
              <w:t>支持管理端对学生信息维护；可按照权限设置对学生提交的变更信息进行审核，系统自动更新关联信息，并对各种变更提供相应处理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3</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培养管理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5"/>
              </w:numPr>
              <w:suppressLineNumbers w:val="0"/>
              <w:ind w:left="425" w:leftChars="0" w:hanging="425" w:firstLineChars="0"/>
              <w:jc w:val="left"/>
              <w:textAlignment w:val="center"/>
              <w:rPr>
                <w:rFonts w:hint="eastAsia"/>
                <w:color w:val="000000"/>
                <w:highlight w:val="none"/>
                <w:lang w:val="en-US" w:eastAsia="zh-CN"/>
              </w:rPr>
            </w:pPr>
            <w:r>
              <w:rPr>
                <w:rFonts w:hint="eastAsia"/>
                <w:color w:val="000000"/>
                <w:highlight w:val="none"/>
                <w:lang w:val="en-US" w:eastAsia="zh-CN"/>
              </w:rPr>
              <w:t>提供各院系制定研究生培养方案，学生根据培养方案制定个人培养计划，并为教学过程提供学生上课、成绩、导师评价等管理功能</w:t>
            </w:r>
          </w:p>
          <w:p>
            <w:pPr>
              <w:keepNext w:val="0"/>
              <w:keepLines w:val="0"/>
              <w:widowControl/>
              <w:numPr>
                <w:ilvl w:val="0"/>
                <w:numId w:val="5"/>
              </w:numPr>
              <w:suppressLineNumbers w:val="0"/>
              <w:ind w:left="425" w:leftChars="0" w:hanging="425" w:firstLineChars="0"/>
              <w:jc w:val="left"/>
              <w:textAlignment w:val="center"/>
              <w:rPr>
                <w:rFonts w:hint="default"/>
                <w:color w:val="000000"/>
                <w:highlight w:val="none"/>
                <w:lang w:val="en-US" w:eastAsia="zh-CN"/>
              </w:rPr>
            </w:pPr>
            <w:r>
              <w:rPr>
                <w:rFonts w:hint="eastAsia"/>
                <w:color w:val="000000"/>
                <w:highlight w:val="none"/>
              </w:rPr>
              <w:t>与联合</w:t>
            </w:r>
            <w:r>
              <w:rPr>
                <w:rFonts w:hint="eastAsia"/>
                <w:color w:val="000000"/>
                <w:highlight w:val="none"/>
                <w:lang w:val="en-US" w:eastAsia="zh-CN"/>
              </w:rPr>
              <w:t>培养</w:t>
            </w:r>
            <w:r>
              <w:rPr>
                <w:rFonts w:hint="eastAsia"/>
                <w:color w:val="000000"/>
                <w:highlight w:val="none"/>
              </w:rPr>
              <w:t>单位对接教务数据，学生在联合培养单位上课并</w:t>
            </w:r>
            <w:r>
              <w:rPr>
                <w:rFonts w:hint="eastAsia"/>
                <w:color w:val="000000"/>
                <w:highlight w:val="none"/>
                <w:lang w:val="en-US" w:eastAsia="zh-CN"/>
              </w:rPr>
              <w:t>登</w:t>
            </w:r>
            <w:r>
              <w:rPr>
                <w:rFonts w:hint="eastAsia"/>
                <w:color w:val="000000"/>
                <w:highlight w:val="none"/>
              </w:rPr>
              <w:t>记成绩，成绩数据可自动</w:t>
            </w:r>
            <w:r>
              <w:rPr>
                <w:rFonts w:hint="eastAsia"/>
                <w:color w:val="000000"/>
                <w:highlight w:val="none"/>
                <w:lang w:val="en-US" w:eastAsia="zh-CN"/>
              </w:rPr>
              <w:t>上传院方</w:t>
            </w:r>
            <w:r>
              <w:rPr>
                <w:rFonts w:hint="eastAsia"/>
                <w:color w:val="000000"/>
                <w:highlight w:val="none"/>
              </w:rPr>
              <w:t>研究生管理系统，并可在</w:t>
            </w:r>
            <w:r>
              <w:rPr>
                <w:rFonts w:hint="eastAsia"/>
                <w:color w:val="000000"/>
                <w:highlight w:val="none"/>
                <w:lang w:val="en-US" w:eastAsia="zh-CN"/>
              </w:rPr>
              <w:t>院方</w:t>
            </w:r>
            <w:r>
              <w:rPr>
                <w:rFonts w:hint="eastAsia"/>
                <w:color w:val="000000"/>
                <w:highlight w:val="none"/>
              </w:rPr>
              <w:t>系统中查询学生上课信息及成绩。</w:t>
            </w:r>
          </w:p>
          <w:p>
            <w:pPr>
              <w:pStyle w:val="2"/>
              <w:numPr>
                <w:ilvl w:val="0"/>
                <w:numId w:val="5"/>
              </w:numPr>
              <w:ind w:left="425" w:leftChars="0" w:hanging="425" w:firstLineChars="0"/>
              <w:rPr>
                <w:rFonts w:hint="default" w:eastAsia="宋体"/>
                <w:color w:val="000000"/>
                <w:highlight w:val="none"/>
                <w:lang w:val="en-US" w:eastAsia="zh-CN"/>
              </w:rPr>
            </w:pPr>
            <w:r>
              <w:rPr>
                <w:rFonts w:hint="eastAsia" w:ascii="Times New Roman" w:hAnsi="Times New Roman" w:eastAsia="宋体" w:cs="Times New Roman"/>
                <w:color w:val="000000"/>
                <w:kern w:val="2"/>
                <w:sz w:val="21"/>
                <w:szCs w:val="24"/>
                <w:highlight w:val="none"/>
                <w:lang w:val="en-US" w:eastAsia="zh-CN" w:bidi="ar-SA"/>
              </w:rPr>
              <w:t>培养过程管理论文开题、中期检查。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4</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导师管理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6"/>
              </w:numPr>
              <w:suppressLineNumbers w:val="0"/>
              <w:ind w:left="425" w:leftChars="0" w:hanging="425" w:firstLineChars="0"/>
              <w:jc w:val="left"/>
              <w:textAlignment w:val="center"/>
              <w:rPr>
                <w:rFonts w:hint="eastAsia" w:eastAsia="宋体"/>
                <w:color w:val="000000"/>
                <w:highlight w:val="none"/>
                <w:lang w:val="en-US" w:eastAsia="zh-CN"/>
              </w:rPr>
            </w:pPr>
            <w:r>
              <w:rPr>
                <w:rFonts w:hint="eastAsia"/>
                <w:color w:val="000000"/>
                <w:highlight w:val="none"/>
                <w:lang w:val="en-US" w:eastAsia="zh-CN"/>
              </w:rPr>
              <w:t>提供导师遴选、导师基本信息维护、导师对所带学生管理、师生关系管理、导师岗位评价情况、导师培训、师生互选管理、导师风采展示等导师管理功能</w:t>
            </w:r>
          </w:p>
          <w:p>
            <w:pPr>
              <w:keepNext w:val="0"/>
              <w:keepLines w:val="0"/>
              <w:widowControl/>
              <w:numPr>
                <w:ilvl w:val="0"/>
                <w:numId w:val="6"/>
              </w:numPr>
              <w:suppressLineNumbers w:val="0"/>
              <w:ind w:left="425" w:leftChars="0" w:hanging="425" w:firstLineChars="0"/>
              <w:jc w:val="left"/>
              <w:textAlignment w:val="center"/>
              <w:rPr>
                <w:rFonts w:hint="eastAsia"/>
                <w:color w:val="000000"/>
                <w:highlight w:val="none"/>
              </w:rPr>
            </w:pPr>
            <w:r>
              <w:rPr>
                <w:rFonts w:hint="eastAsia"/>
                <w:color w:val="000000"/>
                <w:highlight w:val="none"/>
                <w:lang w:val="en-US" w:eastAsia="zh-CN"/>
              </w:rPr>
              <w:t>师生互选管理，可设定师生互选自动开始和截止时间，在时间范围内自动开始和截止，可设定参选导师和参选学生，导师最终确认后需院系或是研究生院再次审核，可统计导师学生关系。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5</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答辩管理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w:t>
            </w:r>
            <w:r>
              <w:rPr>
                <w:rFonts w:hint="eastAsia" w:ascii="宋体" w:hAnsi="宋体" w:cs="宋体"/>
                <w:b w:val="0"/>
                <w:bCs/>
                <w:i w:val="0"/>
                <w:iCs w:val="0"/>
                <w:color w:val="000000"/>
                <w:kern w:val="0"/>
                <w:sz w:val="22"/>
                <w:szCs w:val="22"/>
                <w:highlight w:val="none"/>
                <w:u w:val="none"/>
                <w:lang w:val="en-US" w:eastAsia="zh-CN" w:bidi="ar"/>
              </w:rPr>
              <w:t>预答辩和</w:t>
            </w:r>
            <w:r>
              <w:rPr>
                <w:rFonts w:hint="eastAsia" w:ascii="宋体" w:hAnsi="宋体" w:eastAsia="宋体" w:cs="宋体"/>
                <w:b w:val="0"/>
                <w:bCs/>
                <w:i w:val="0"/>
                <w:iCs w:val="0"/>
                <w:color w:val="000000"/>
                <w:kern w:val="0"/>
                <w:sz w:val="22"/>
                <w:szCs w:val="22"/>
                <w:highlight w:val="none"/>
                <w:u w:val="none"/>
                <w:lang w:val="en-US" w:eastAsia="zh-CN" w:bidi="ar"/>
              </w:rPr>
              <w:t>答辩过程处理功能，包括论文答辩建立、过程记录、结果录入、打印个人授予学位信息功能 。支持学生在线申请、导师审核。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6</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学位管理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支持论文查重，与知网无缝对接，一键导出学生论文上传知网，查询结果一键导出，查重结果可直接导入系统，实现无缝连接；支持批量检测，批量导入、学院及学校审核；</w:t>
            </w:r>
          </w:p>
          <w:p>
            <w:pPr>
              <w:keepNext w:val="0"/>
              <w:keepLines w:val="0"/>
              <w:widowControl/>
              <w:numPr>
                <w:ilvl w:val="0"/>
                <w:numId w:val="7"/>
              </w:numPr>
              <w:suppressLineNumbers w:val="0"/>
              <w:ind w:left="425" w:leftChars="0" w:hanging="425" w:firstLineChars="0"/>
              <w:jc w:val="left"/>
              <w:textAlignment w:val="center"/>
              <w:rPr>
                <w:rFonts w:hint="default"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 xml:space="preserve">论文评审（盲审）：论文评审流程、 评审专家库、评审单位库，与学教中心评审对接，与知网查重信息对接等。 </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提供批量设定学生毕业信息、毕业证书打印、毕业数据上报功能，提供导出DBF且须符合</w:t>
            </w:r>
            <w:r>
              <w:rPr>
                <w:rFonts w:hint="eastAsia" w:ascii="宋体" w:hAnsi="宋体" w:cs="宋体"/>
                <w:b w:val="0"/>
                <w:bCs/>
                <w:i w:val="0"/>
                <w:iCs w:val="0"/>
                <w:color w:val="000000"/>
                <w:kern w:val="0"/>
                <w:sz w:val="22"/>
                <w:szCs w:val="22"/>
                <w:highlight w:val="none"/>
                <w:u w:val="none"/>
                <w:lang w:val="en-US" w:eastAsia="zh-CN" w:bidi="ar"/>
              </w:rPr>
              <w:t>教育部</w:t>
            </w:r>
            <w:r>
              <w:rPr>
                <w:rFonts w:hint="eastAsia" w:ascii="宋体" w:hAnsi="宋体" w:eastAsia="宋体" w:cs="宋体"/>
                <w:b w:val="0"/>
                <w:bCs/>
                <w:i w:val="0"/>
                <w:iCs w:val="0"/>
                <w:color w:val="000000"/>
                <w:kern w:val="0"/>
                <w:sz w:val="22"/>
                <w:szCs w:val="22"/>
                <w:highlight w:val="none"/>
                <w:u w:val="none"/>
                <w:lang w:val="en-US" w:eastAsia="zh-CN" w:bidi="ar"/>
              </w:rPr>
              <w:t>上报标准。</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w:t>
            </w:r>
            <w:r>
              <w:rPr>
                <w:rFonts w:hint="eastAsia" w:ascii="宋体" w:hAnsi="宋体" w:cs="宋体"/>
                <w:b w:val="0"/>
                <w:bCs/>
                <w:i w:val="0"/>
                <w:iCs w:val="0"/>
                <w:color w:val="000000"/>
                <w:kern w:val="0"/>
                <w:sz w:val="22"/>
                <w:szCs w:val="22"/>
                <w:highlight w:val="none"/>
                <w:u w:val="none"/>
                <w:lang w:val="en-US" w:eastAsia="zh-CN" w:bidi="ar"/>
              </w:rPr>
              <w:t>包括但不限于</w:t>
            </w:r>
            <w:r>
              <w:rPr>
                <w:rFonts w:hint="eastAsia" w:ascii="宋体" w:hAnsi="宋体" w:eastAsia="宋体" w:cs="宋体"/>
                <w:b w:val="0"/>
                <w:bCs/>
                <w:i w:val="0"/>
                <w:iCs w:val="0"/>
                <w:color w:val="000000"/>
                <w:kern w:val="0"/>
                <w:sz w:val="22"/>
                <w:szCs w:val="22"/>
                <w:highlight w:val="none"/>
                <w:u w:val="none"/>
                <w:lang w:val="en-US" w:eastAsia="zh-CN" w:bidi="ar"/>
              </w:rPr>
              <w:t>学生论文、著作、专利、获奖成果</w:t>
            </w:r>
            <w:r>
              <w:rPr>
                <w:rFonts w:hint="eastAsia" w:ascii="宋体" w:hAnsi="宋体" w:cs="宋体"/>
                <w:b w:val="0"/>
                <w:bCs/>
                <w:i w:val="0"/>
                <w:iCs w:val="0"/>
                <w:color w:val="000000"/>
                <w:kern w:val="0"/>
                <w:sz w:val="22"/>
                <w:szCs w:val="22"/>
                <w:highlight w:val="none"/>
                <w:u w:val="none"/>
                <w:lang w:val="en-US" w:eastAsia="zh-CN" w:bidi="ar"/>
              </w:rPr>
              <w:t>、参加学术会议</w:t>
            </w:r>
            <w:r>
              <w:rPr>
                <w:rFonts w:hint="eastAsia" w:ascii="宋体" w:hAnsi="宋体" w:eastAsia="宋体" w:cs="宋体"/>
                <w:b w:val="0"/>
                <w:bCs/>
                <w:i w:val="0"/>
                <w:iCs w:val="0"/>
                <w:color w:val="000000"/>
                <w:kern w:val="0"/>
                <w:sz w:val="22"/>
                <w:szCs w:val="22"/>
                <w:highlight w:val="none"/>
                <w:u w:val="none"/>
                <w:lang w:val="en-US" w:eastAsia="zh-CN" w:bidi="ar"/>
              </w:rPr>
              <w:t>等科研成果的学生在线录入、审核及核心期刊相关信息的维护等功能。</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学生在线学位申请，系统根据设置判断自动审核；提供对各类型学生学位证书证号自定义编排，对学位时限及条件进行环节控制功能；可通过系统查询历年授予学位信息、学科综合成绩信息、学位外语成绩信息 ；可维护学位审核条件；可按照学生类别分别导出国家上报的dbf，批量导出学生的学位授予信息表；可批量下载学生信息；可选择和批量导出学生的学位授予信息</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通过管理端可约束学位授予填写及提交时限</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提供学位信息上报功能，按照国家上报数据要求提供学位上报信息的系统自动采集、学生维护、学院确认、学位办导出数据等一系列的管理流程</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管理端可编辑存档学位论文要求；管理端在线查看、审核、下载学生上传的存档文档；学生需在规定时间内上传存档论文（pdf及Word格式）</w:t>
            </w:r>
          </w:p>
          <w:p>
            <w:pPr>
              <w:keepNext w:val="0"/>
              <w:keepLines w:val="0"/>
              <w:widowControl/>
              <w:numPr>
                <w:ilvl w:val="0"/>
                <w:numId w:val="7"/>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提供学位证和毕业证打印功能。可根据学生的学位证和毕业证书花纹模板进行设定，自动生成学位证和毕业证书电子版；支持批量打印学位证书和毕业证书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7</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学科管理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提供学术学科、专业学位、重点学科信息查询及管理功能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cs="宋体"/>
                <w:b w:val="0"/>
                <w:bCs/>
                <w:i w:val="0"/>
                <w:iCs w:val="0"/>
                <w:color w:val="000000"/>
                <w:kern w:val="0"/>
                <w:sz w:val="22"/>
                <w:szCs w:val="22"/>
                <w:highlight w:val="none"/>
                <w:u w:val="none"/>
                <w:lang w:val="en-US" w:eastAsia="zh-CN" w:bidi="ar"/>
              </w:rPr>
              <w:t>8</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奖助管理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8"/>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提供奖学金、助学金的申请及审核、证明打印功能，并提供分类及标准设置功能；</w:t>
            </w:r>
          </w:p>
          <w:p>
            <w:pPr>
              <w:keepNext w:val="0"/>
              <w:keepLines w:val="0"/>
              <w:widowControl/>
              <w:numPr>
                <w:ilvl w:val="0"/>
                <w:numId w:val="8"/>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 xml:space="preserve">提供助管、兼职辅导员、助研管理三种助理的岗位申报，学生申请，学校审核，酬金发放的流程管理功能。 </w:t>
            </w:r>
          </w:p>
          <w:p>
            <w:pPr>
              <w:keepNext w:val="0"/>
              <w:keepLines w:val="0"/>
              <w:widowControl/>
              <w:numPr>
                <w:ilvl w:val="0"/>
                <w:numId w:val="8"/>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提供对学生政治面貌的录入、变更、查询统计管理功能</w:t>
            </w:r>
          </w:p>
          <w:p>
            <w:pPr>
              <w:keepNext w:val="0"/>
              <w:keepLines w:val="0"/>
              <w:widowControl/>
              <w:numPr>
                <w:ilvl w:val="0"/>
                <w:numId w:val="8"/>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助学贷款管理功能。学生可在线提交助学贷款申请，查看申请进度，管理端可设定申请开放时间，并随时查看学生申请状态及内容，对申请内容进行管理审核，审核之后可在线查看统计，可导出申请及审核数据</w:t>
            </w:r>
          </w:p>
          <w:p>
            <w:pPr>
              <w:keepNext w:val="0"/>
              <w:keepLines w:val="0"/>
              <w:widowControl/>
              <w:numPr>
                <w:ilvl w:val="0"/>
                <w:numId w:val="8"/>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提供在线请假销假的申请、审核、查询统计功能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b w:val="0"/>
                <w:bCs/>
                <w:i w:val="0"/>
                <w:iCs w:val="0"/>
                <w:color w:val="000000"/>
                <w:sz w:val="22"/>
                <w:szCs w:val="22"/>
                <w:highlight w:val="none"/>
                <w:u w:val="none"/>
                <w:lang w:val="en-US"/>
              </w:rPr>
            </w:pPr>
            <w:r>
              <w:rPr>
                <w:rFonts w:hint="eastAsia" w:ascii="宋体" w:hAnsi="宋体" w:cs="宋体"/>
                <w:b w:val="0"/>
                <w:bCs/>
                <w:i w:val="0"/>
                <w:iCs w:val="0"/>
                <w:color w:val="000000"/>
                <w:kern w:val="0"/>
                <w:sz w:val="22"/>
                <w:szCs w:val="22"/>
                <w:highlight w:val="none"/>
                <w:u w:val="none"/>
                <w:lang w:val="en-US" w:eastAsia="zh-CN" w:bidi="ar"/>
              </w:rPr>
              <w:t>9</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数据采集分析</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提供满足日常管理需要对招生、学籍、培养、学位、毕业数据的分析统计功能，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b w:val="0"/>
                <w:bCs/>
                <w:i w:val="0"/>
                <w:iCs w:val="0"/>
                <w:color w:val="000000"/>
                <w:sz w:val="22"/>
                <w:szCs w:val="22"/>
                <w:highlight w:val="none"/>
                <w:u w:val="none"/>
                <w:lang w:val="en-US"/>
              </w:rPr>
            </w:pPr>
            <w:r>
              <w:rPr>
                <w:rFonts w:hint="eastAsia" w:ascii="宋体" w:hAnsi="宋体" w:cs="宋体"/>
                <w:b w:val="0"/>
                <w:bCs/>
                <w:i w:val="0"/>
                <w:iCs w:val="0"/>
                <w:color w:val="000000"/>
                <w:kern w:val="0"/>
                <w:sz w:val="22"/>
                <w:szCs w:val="22"/>
                <w:highlight w:val="none"/>
                <w:u w:val="none"/>
                <w:lang w:val="en-US" w:eastAsia="zh-CN" w:bidi="ar"/>
              </w:rPr>
              <w:t>10</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后台管理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提供基础数据维护，任课教师信息查看，学期管理以及系统模板的导入功能</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用户权限管理：按照“角色-权限”的架构设计，可按角色配置不同权限组合，按角色分配给用户，可实现分级授权管理功能。可按职能部门限制使用范围</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支持管理员模拟用户登录，不用登录用户账号密码，可以通过管理平台工具登录用户页面</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支持对学生和教师</w:t>
            </w:r>
            <w:r>
              <w:rPr>
                <w:rFonts w:hint="eastAsia" w:ascii="宋体" w:hAnsi="宋体" w:cs="宋体"/>
                <w:b w:val="0"/>
                <w:bCs/>
                <w:i w:val="0"/>
                <w:iCs w:val="0"/>
                <w:color w:val="000000"/>
                <w:kern w:val="0"/>
                <w:sz w:val="22"/>
                <w:szCs w:val="22"/>
                <w:highlight w:val="none"/>
                <w:u w:val="none"/>
                <w:lang w:val="en-US" w:eastAsia="zh-CN" w:bidi="ar"/>
              </w:rPr>
              <w:t>登录状态</w:t>
            </w:r>
            <w:r>
              <w:rPr>
                <w:rFonts w:hint="eastAsia" w:ascii="宋体" w:hAnsi="宋体" w:eastAsia="宋体" w:cs="宋体"/>
                <w:b w:val="0"/>
                <w:bCs/>
                <w:i w:val="0"/>
                <w:iCs w:val="0"/>
                <w:color w:val="000000"/>
                <w:kern w:val="0"/>
                <w:sz w:val="22"/>
                <w:szCs w:val="22"/>
                <w:highlight w:val="none"/>
                <w:u w:val="none"/>
                <w:lang w:val="en-US" w:eastAsia="zh-CN" w:bidi="ar"/>
              </w:rPr>
              <w:t>控制，可以控制是否允许登陆，是否允许修改数据</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提供系统菜单名称和菜单位置自定义功能</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基础数据管理：包括学期维护、功能授权、教师信息、教室信息、课程库、学生密码查询、教师密码查询、教师教学管理等</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支持对所有打印报表格式自定义</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提供操作日志，系统记录所有操作痕迹包括操作关键字，操作人、姓名编号、院系、操作类别、操作时间、登陆的IP地址和登陆地点，并提供操作日志查询功能</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实现与教育部所有研招数据无缝对接。通过导入（教育部下载）和导出（上报教育部）数据文件（dbf）实现，全部须通过管理页面来导入（不能通过第3方数据库软件工具导入和导出），数据读写率需要达到每秒1000条以上，导入dbf和生成dbf必须在15秒内完成生成并能下载。</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高基报表导出后不需要任何调整（按照给定模板）可以直接导出上报。系统应提供对省教育厅、教育部等直接的（学籍、学历）数据接口。</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提供批量导入学籍信息，自动更改相关字段信息功能，支持自定义更新字段</w:t>
            </w:r>
            <w:r>
              <w:rPr>
                <w:rFonts w:hint="eastAsia" w:ascii="宋体" w:hAnsi="宋体" w:cs="宋体"/>
                <w:b w:val="0"/>
                <w:bCs/>
                <w:i w:val="0"/>
                <w:iCs w:val="0"/>
                <w:color w:val="000000"/>
                <w:kern w:val="0"/>
                <w:sz w:val="22"/>
                <w:szCs w:val="22"/>
                <w:highlight w:val="none"/>
                <w:u w:val="none"/>
                <w:lang w:val="en-US" w:eastAsia="zh-CN" w:bidi="ar"/>
              </w:rPr>
              <w:t>，</w:t>
            </w:r>
            <w:r>
              <w:rPr>
                <w:rFonts w:hint="eastAsia" w:ascii="宋体" w:hAnsi="宋体" w:eastAsia="宋体" w:cs="宋体"/>
                <w:b w:val="0"/>
                <w:bCs/>
                <w:i w:val="0"/>
                <w:iCs w:val="0"/>
                <w:color w:val="000000"/>
                <w:kern w:val="0"/>
                <w:sz w:val="22"/>
                <w:szCs w:val="22"/>
                <w:highlight w:val="none"/>
                <w:u w:val="none"/>
                <w:lang w:val="en-US" w:eastAsia="zh-CN" w:bidi="ar"/>
              </w:rPr>
              <w:t>学籍信息导出页面要有自定义导出字段功能</w:t>
            </w:r>
          </w:p>
          <w:p>
            <w:pPr>
              <w:keepNext w:val="0"/>
              <w:keepLines w:val="0"/>
              <w:widowControl/>
              <w:numPr>
                <w:ilvl w:val="0"/>
                <w:numId w:val="9"/>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提供自定义控制学生</w:t>
            </w:r>
            <w:r>
              <w:rPr>
                <w:rFonts w:hint="eastAsia" w:ascii="宋体" w:hAnsi="宋体" w:cs="宋体"/>
                <w:b w:val="0"/>
                <w:bCs/>
                <w:i w:val="0"/>
                <w:iCs w:val="0"/>
                <w:color w:val="000000"/>
                <w:kern w:val="0"/>
                <w:sz w:val="22"/>
                <w:szCs w:val="22"/>
                <w:highlight w:val="none"/>
                <w:u w:val="none"/>
                <w:lang w:val="en-US" w:eastAsia="zh-CN" w:bidi="ar"/>
              </w:rPr>
              <w:t>登录系统</w:t>
            </w:r>
            <w:r>
              <w:rPr>
                <w:rFonts w:hint="eastAsia" w:ascii="宋体" w:hAnsi="宋体" w:eastAsia="宋体" w:cs="宋体"/>
                <w:b w:val="0"/>
                <w:bCs/>
                <w:i w:val="0"/>
                <w:iCs w:val="0"/>
                <w:color w:val="000000"/>
                <w:kern w:val="0"/>
                <w:sz w:val="22"/>
                <w:szCs w:val="22"/>
                <w:highlight w:val="none"/>
                <w:u w:val="none"/>
                <w:lang w:val="en-US" w:eastAsia="zh-CN" w:bidi="ar"/>
              </w:rPr>
              <w:t>完善个人基本信息的时间，同时根据不同的学生类别分别开放功能进行完善相关数据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2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b w:val="0"/>
                <w:bCs/>
                <w:i w:val="0"/>
                <w:iCs w:val="0"/>
                <w:color w:val="000000"/>
                <w:sz w:val="22"/>
                <w:szCs w:val="22"/>
                <w:highlight w:val="none"/>
                <w:u w:val="none"/>
                <w:lang w:val="en-US"/>
              </w:rPr>
            </w:pPr>
            <w:r>
              <w:rPr>
                <w:rFonts w:hint="eastAsia" w:ascii="宋体" w:hAnsi="宋体" w:cs="宋体"/>
                <w:b w:val="0"/>
                <w:bCs/>
                <w:i w:val="0"/>
                <w:iCs w:val="0"/>
                <w:color w:val="000000"/>
                <w:kern w:val="0"/>
                <w:sz w:val="22"/>
                <w:szCs w:val="22"/>
                <w:highlight w:val="none"/>
                <w:u w:val="none"/>
                <w:lang w:val="en-US" w:eastAsia="zh-CN" w:bidi="ar"/>
              </w:rPr>
              <w:t>11</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学业预警</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10"/>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预警设置，可建立预警事项名称、预警信息、信息分类、发送次数、是否启用等内容的用户自定义；根据预警事项不同，对特定类别的学生进行学业预警；管理员可设定预警事项适用学生的培养类别、年级、学制、院系、专业、特定学生名单 ，可用EXCEL批量导入</w:t>
            </w:r>
          </w:p>
          <w:p>
            <w:pPr>
              <w:keepNext w:val="0"/>
              <w:keepLines w:val="0"/>
              <w:widowControl/>
              <w:numPr>
                <w:ilvl w:val="0"/>
                <w:numId w:val="10"/>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提供预警内容设置：可设置自动反馈培养进度、自动提醒相关人员处理毕业学位、论文、学生提交培养计划；可设置自动校验培养计划、学生课程是否及格、统计学生学习年限是否超期</w:t>
            </w:r>
          </w:p>
          <w:p>
            <w:pPr>
              <w:keepNext w:val="0"/>
              <w:keepLines w:val="0"/>
              <w:widowControl/>
              <w:numPr>
                <w:ilvl w:val="0"/>
                <w:numId w:val="10"/>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提供预警反馈，对已推送预警信息的汇总管理功能，管理员可按预警信息的推送日期、预警事项、分类、发送方式、学生是否阅读、学生所在院系等条件筛选查询，管理，导出EXCEL报表</w:t>
            </w:r>
          </w:p>
          <w:p>
            <w:pPr>
              <w:keepNext w:val="0"/>
              <w:keepLines w:val="0"/>
              <w:widowControl/>
              <w:numPr>
                <w:ilvl w:val="0"/>
                <w:numId w:val="10"/>
              </w:numPr>
              <w:suppressLineNumbers w:val="0"/>
              <w:ind w:left="425" w:leftChars="0" w:hanging="425" w:firstLineChars="0"/>
              <w:jc w:val="left"/>
              <w:textAlignment w:val="center"/>
              <w:rPr>
                <w:rFonts w:hint="eastAsia" w:ascii="宋体" w:hAnsi="宋体" w:eastAsia="宋体" w:cs="宋体"/>
                <w:b w:val="0"/>
                <w:bCs/>
                <w:i w:val="0"/>
                <w:iCs w:val="0"/>
                <w:color w:val="000000"/>
                <w:sz w:val="22"/>
                <w:szCs w:val="22"/>
                <w:highlight w:val="none"/>
                <w:u w:val="none"/>
              </w:rPr>
            </w:pPr>
            <w:r>
              <w:rPr>
                <w:rFonts w:hint="eastAsia" w:ascii="宋体" w:hAnsi="宋体" w:eastAsia="宋体" w:cs="宋体"/>
                <w:b w:val="0"/>
                <w:bCs/>
                <w:i w:val="0"/>
                <w:iCs w:val="0"/>
                <w:color w:val="000000"/>
                <w:kern w:val="0"/>
                <w:sz w:val="22"/>
                <w:szCs w:val="22"/>
                <w:highlight w:val="none"/>
                <w:u w:val="none"/>
                <w:lang w:val="en-US" w:eastAsia="zh-CN" w:bidi="ar"/>
              </w:rPr>
              <w:t>支持学生端和管理端分别查询查重评审流程进度，可查看任务名称和进度时间和办理人信息，答辩流程进度等信息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728"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center"/>
              <w:textAlignment w:val="center"/>
              <w:rPr>
                <w:rFonts w:hint="default" w:ascii="宋体" w:hAnsi="宋体" w:eastAsia="宋体" w:cs="宋体"/>
                <w:b w:val="0"/>
                <w:bCs/>
                <w:i w:val="0"/>
                <w:iCs w:val="0"/>
                <w:color w:val="000000"/>
                <w:kern w:val="0"/>
                <w:sz w:val="22"/>
                <w:szCs w:val="22"/>
                <w:highlight w:val="none"/>
                <w:u w:val="none"/>
                <w:lang w:val="en-US" w:eastAsia="zh-CN" w:bidi="ar"/>
              </w:rPr>
            </w:pPr>
            <w:r>
              <w:rPr>
                <w:rFonts w:hint="eastAsia" w:ascii="宋体" w:hAnsi="宋体" w:cs="宋体"/>
                <w:b w:val="0"/>
                <w:bCs/>
                <w:i w:val="0"/>
                <w:iCs w:val="0"/>
                <w:color w:val="000000"/>
                <w:kern w:val="0"/>
                <w:sz w:val="22"/>
                <w:szCs w:val="22"/>
                <w:highlight w:val="none"/>
                <w:u w:val="none"/>
                <w:lang w:val="en-US" w:eastAsia="zh-CN" w:bidi="ar"/>
              </w:rPr>
              <w:t>12</w:t>
            </w:r>
          </w:p>
        </w:tc>
        <w:tc>
          <w:tcPr>
            <w:tcW w:w="1215" w:type="dxa"/>
            <w:tcBorders>
              <w:top w:val="single" w:color="000000" w:sz="8" w:space="0"/>
              <w:left w:val="single" w:color="000000" w:sz="8" w:space="0"/>
              <w:bottom w:val="single" w:color="000000" w:sz="8" w:space="0"/>
              <w:right w:val="single" w:color="000000" w:sz="8"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cs="宋体"/>
                <w:b w:val="0"/>
                <w:bCs/>
                <w:i w:val="0"/>
                <w:iCs w:val="0"/>
                <w:color w:val="000000"/>
                <w:kern w:val="0"/>
                <w:sz w:val="22"/>
                <w:szCs w:val="22"/>
                <w:highlight w:val="none"/>
                <w:u w:val="none"/>
                <w:lang w:val="en-US" w:eastAsia="zh-CN" w:bidi="ar"/>
              </w:rPr>
              <w:t>学位论文评审管理</w:t>
            </w:r>
          </w:p>
        </w:tc>
        <w:tc>
          <w:tcPr>
            <w:tcW w:w="72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numPr>
                <w:ilvl w:val="0"/>
                <w:numId w:val="0"/>
              </w:numPr>
              <w:suppressLineNumbers w:val="0"/>
              <w:ind w:left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进行在线评审在线打分，管理端汇总结果</w:t>
            </w:r>
          </w:p>
        </w:tc>
      </w:tr>
    </w:tbl>
    <w:p>
      <w:pPr>
        <w:pStyle w:val="4"/>
        <w:spacing w:before="0" w:after="0"/>
        <w:rPr>
          <w:rFonts w:hint="eastAsia" w:ascii="宋体" w:hAnsi="宋体" w:eastAsia="宋体" w:cs="宋体"/>
          <w:b w:val="0"/>
          <w:bCs/>
          <w:sz w:val="24"/>
          <w:szCs w:val="24"/>
          <w:lang w:eastAsia="zh-CN"/>
        </w:rPr>
      </w:pPr>
      <w:bookmarkStart w:id="1" w:name="_6.1.2、容器服务器"/>
      <w:bookmarkEnd w:id="1"/>
      <w:r>
        <w:rPr>
          <w:rFonts w:hint="eastAsia" w:ascii="宋体" w:hAnsi="宋体" w:eastAsia="宋体" w:cs="宋体"/>
          <w:b w:val="0"/>
          <w:bCs/>
          <w:sz w:val="24"/>
          <w:szCs w:val="24"/>
        </w:rPr>
        <w:t>3.</w:t>
      </w: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w:t>
      </w:r>
      <w:r>
        <w:rPr>
          <w:rFonts w:hint="eastAsia" w:ascii="宋体" w:hAnsi="宋体" w:eastAsia="宋体" w:cs="宋体"/>
          <w:b w:val="0"/>
          <w:bCs/>
          <w:sz w:val="24"/>
          <w:szCs w:val="24"/>
          <w:lang w:eastAsia="zh-CN"/>
        </w:rPr>
        <w:t>考勤管理子系统</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215"/>
        <w:gridCol w:w="7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blHeader/>
        </w:trPr>
        <w:tc>
          <w:tcPr>
            <w:tcW w:w="442" w:type="pct"/>
            <w:vAlign w:val="center"/>
          </w:tcPr>
          <w:p>
            <w:pPr>
              <w:widowControl/>
              <w:jc w:val="center"/>
              <w:rPr>
                <w:rFonts w:hint="eastAsia" w:ascii="宋体" w:hAnsi="宋体" w:eastAsia="宋体" w:cs="宋体"/>
                <w:b w:val="0"/>
                <w:bCs/>
                <w:szCs w:val="21"/>
              </w:rPr>
            </w:pPr>
            <w:r>
              <w:rPr>
                <w:rFonts w:hint="eastAsia" w:ascii="宋体" w:hAnsi="宋体" w:eastAsia="宋体" w:cs="宋体"/>
                <w:b w:val="0"/>
                <w:bCs/>
                <w:szCs w:val="21"/>
              </w:rPr>
              <w:t>序号</w:t>
            </w:r>
          </w:p>
        </w:tc>
        <w:tc>
          <w:tcPr>
            <w:tcW w:w="654" w:type="pct"/>
            <w:vAlign w:val="center"/>
          </w:tcPr>
          <w:p>
            <w:pPr>
              <w:widowControl/>
              <w:jc w:val="center"/>
              <w:rPr>
                <w:rFonts w:hint="eastAsia" w:ascii="宋体" w:hAnsi="宋体" w:eastAsia="宋体" w:cs="宋体"/>
                <w:b w:val="0"/>
                <w:bCs/>
                <w:szCs w:val="21"/>
              </w:rPr>
            </w:pPr>
            <w:r>
              <w:rPr>
                <w:rFonts w:hint="eastAsia" w:ascii="宋体" w:hAnsi="宋体" w:eastAsia="宋体" w:cs="宋体"/>
                <w:b w:val="0"/>
                <w:bCs/>
                <w:szCs w:val="21"/>
              </w:rPr>
              <w:t>功能模块</w:t>
            </w:r>
          </w:p>
        </w:tc>
        <w:tc>
          <w:tcPr>
            <w:tcW w:w="3903" w:type="pct"/>
            <w:vAlign w:val="center"/>
          </w:tcPr>
          <w:p>
            <w:pPr>
              <w:widowControl/>
              <w:jc w:val="center"/>
              <w:rPr>
                <w:rFonts w:hint="eastAsia" w:ascii="宋体" w:hAnsi="宋体" w:eastAsia="宋体" w:cs="宋体"/>
                <w:b w:val="0"/>
                <w:bCs/>
                <w:szCs w:val="21"/>
              </w:rPr>
            </w:pPr>
            <w:r>
              <w:rPr>
                <w:rFonts w:hint="eastAsia" w:ascii="宋体" w:hAnsi="宋体" w:eastAsia="宋体" w:cs="宋体"/>
                <w:b w:val="0"/>
                <w:bCs/>
                <w:szCs w:val="21"/>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trPr>
        <w:tc>
          <w:tcPr>
            <w:tcW w:w="442" w:type="pct"/>
            <w:vAlign w:val="center"/>
          </w:tcPr>
          <w:p>
            <w:pPr>
              <w:widowControl/>
              <w:jc w:val="center"/>
              <w:rPr>
                <w:rFonts w:hint="eastAsia" w:ascii="宋体" w:hAnsi="宋体" w:eastAsia="宋体" w:cs="宋体"/>
                <w:b w:val="0"/>
                <w:bCs/>
                <w:szCs w:val="21"/>
              </w:rPr>
            </w:pPr>
            <w:r>
              <w:rPr>
                <w:rFonts w:hint="eastAsia" w:ascii="宋体" w:hAnsi="宋体" w:eastAsia="宋体" w:cs="宋体"/>
                <w:b w:val="0"/>
                <w:bCs/>
                <w:szCs w:val="21"/>
              </w:rPr>
              <w:t>1</w:t>
            </w:r>
          </w:p>
        </w:tc>
        <w:tc>
          <w:tcPr>
            <w:tcW w:w="654" w:type="pct"/>
            <w:vAlign w:val="center"/>
          </w:tcPr>
          <w:p>
            <w:pPr>
              <w:pStyle w:val="2"/>
              <w:jc w:val="center"/>
              <w:rPr>
                <w:rFonts w:hint="eastAsia" w:ascii="宋体" w:hAnsi="宋体" w:eastAsia="宋体" w:cs="宋体"/>
                <w:b w:val="0"/>
                <w:bCs/>
                <w:lang w:val="en-US" w:eastAsia="zh-CN"/>
              </w:rPr>
            </w:pPr>
            <w:r>
              <w:rPr>
                <w:rFonts w:hint="eastAsia" w:ascii="宋体" w:hAnsi="宋体" w:eastAsia="宋体" w:cs="宋体"/>
                <w:b w:val="0"/>
                <w:bCs/>
              </w:rPr>
              <w:t>考勤管理</w:t>
            </w:r>
          </w:p>
        </w:tc>
        <w:tc>
          <w:tcPr>
            <w:tcW w:w="3903" w:type="pct"/>
            <w:vAlign w:val="center"/>
          </w:tcPr>
          <w:p>
            <w:pPr>
              <w:keepNext w:val="0"/>
              <w:keepLines w:val="0"/>
              <w:widowControl/>
              <w:numPr>
                <w:ilvl w:val="0"/>
                <w:numId w:val="11"/>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规范出勤管理：系统可根据研究生、博士后、进修生、规培生管理规定设置不同会议的出勤规则，对会议设置独立的打卡规则、出勤迟到规则，满足医院的出勤需求。</w:t>
            </w:r>
          </w:p>
          <w:p>
            <w:pPr>
              <w:keepNext w:val="0"/>
              <w:keepLines w:val="0"/>
              <w:widowControl/>
              <w:numPr>
                <w:ilvl w:val="0"/>
                <w:numId w:val="11"/>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打卡身份校验：利用定位打卡加微信扫码打卡功能，杜绝替人打卡、冒充他人参会等情况发生。</w:t>
            </w:r>
          </w:p>
          <w:p>
            <w:pPr>
              <w:keepNext w:val="0"/>
              <w:keepLines w:val="0"/>
              <w:widowControl/>
              <w:numPr>
                <w:ilvl w:val="0"/>
                <w:numId w:val="11"/>
              </w:numPr>
              <w:suppressLineNumbers w:val="0"/>
              <w:ind w:left="425" w:leftChars="0" w:hanging="425" w:firstLineChars="0"/>
              <w:jc w:val="left"/>
              <w:textAlignment w:val="center"/>
              <w:rPr>
                <w:rFonts w:hint="eastAsia" w:ascii="宋体" w:hAnsi="宋体" w:eastAsia="宋体" w:cs="宋体"/>
                <w:b w:val="0"/>
                <w:bCs/>
              </w:rPr>
            </w:pPr>
            <w:r>
              <w:rPr>
                <w:rFonts w:hint="eastAsia" w:ascii="宋体" w:hAnsi="宋体" w:eastAsia="宋体" w:cs="宋体"/>
                <w:b w:val="0"/>
                <w:bCs/>
                <w:i w:val="0"/>
                <w:iCs w:val="0"/>
                <w:color w:val="000000"/>
                <w:kern w:val="0"/>
                <w:sz w:val="22"/>
                <w:szCs w:val="22"/>
                <w:u w:val="none"/>
                <w:lang w:val="en-US" w:eastAsia="zh-CN" w:bidi="ar"/>
              </w:rPr>
              <w:t>防疫管理：支持健康码、核酸结果、疫苗信息、中高风险查询与预警。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szCs w:val="21"/>
                <w:lang w:val="en-US" w:eastAsia="zh-CN"/>
              </w:rPr>
            </w:pPr>
            <w:r>
              <w:rPr>
                <w:rFonts w:hint="eastAsia" w:ascii="宋体" w:hAnsi="宋体" w:eastAsia="宋体" w:cs="宋体"/>
                <w:b w:val="0"/>
                <w:bCs/>
                <w:szCs w:val="21"/>
                <w:lang w:val="en-US" w:eastAsia="zh-CN"/>
              </w:rPr>
              <w:t>2</w:t>
            </w:r>
          </w:p>
        </w:tc>
        <w:tc>
          <w:tcPr>
            <w:tcW w:w="654" w:type="pct"/>
            <w:vAlign w:val="center"/>
          </w:tcPr>
          <w:p>
            <w:pPr>
              <w:pStyle w:val="2"/>
              <w:jc w:val="center"/>
              <w:rPr>
                <w:rFonts w:hint="eastAsia" w:ascii="宋体" w:hAnsi="宋体" w:eastAsia="宋体" w:cs="宋体"/>
                <w:b w:val="0"/>
                <w:bCs/>
                <w:szCs w:val="21"/>
                <w:lang w:eastAsia="zh-CN"/>
              </w:rPr>
            </w:pPr>
            <w:r>
              <w:rPr>
                <w:rFonts w:hint="eastAsia" w:ascii="宋体" w:hAnsi="宋体" w:eastAsia="宋体" w:cs="宋体"/>
                <w:b w:val="0"/>
                <w:bCs/>
                <w:szCs w:val="21"/>
              </w:rPr>
              <w:t>请假管理</w:t>
            </w:r>
          </w:p>
        </w:tc>
        <w:tc>
          <w:tcPr>
            <w:tcW w:w="3903" w:type="pct"/>
            <w:vAlign w:val="center"/>
          </w:tcPr>
          <w:p>
            <w:pPr>
              <w:keepNext w:val="0"/>
              <w:keepLines w:val="0"/>
              <w:widowControl/>
              <w:numPr>
                <w:ilvl w:val="0"/>
                <w:numId w:val="12"/>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可设置不同请假类型，设置是否上传附件；</w:t>
            </w:r>
          </w:p>
          <w:p>
            <w:pPr>
              <w:keepNext w:val="0"/>
              <w:keepLines w:val="0"/>
              <w:widowControl/>
              <w:numPr>
                <w:ilvl w:val="0"/>
                <w:numId w:val="12"/>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支持针对不同请假类型设置不同审批流程，审批流程支持自定义设置；</w:t>
            </w:r>
          </w:p>
          <w:p>
            <w:pPr>
              <w:keepNext w:val="0"/>
              <w:keepLines w:val="0"/>
              <w:widowControl/>
              <w:numPr>
                <w:ilvl w:val="0"/>
                <w:numId w:val="12"/>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研究生、博士后、进修生、规培生在线进行请假申请，管理员进行审批；</w:t>
            </w:r>
          </w:p>
          <w:p>
            <w:pPr>
              <w:keepNext w:val="0"/>
              <w:keepLines w:val="0"/>
              <w:widowControl/>
              <w:numPr>
                <w:ilvl w:val="0"/>
                <w:numId w:val="12"/>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可分类（待审批、已同意、已拒绝）查看请假信息，支持批量删除和一键销假；</w:t>
            </w:r>
          </w:p>
          <w:p>
            <w:pPr>
              <w:keepNext w:val="0"/>
              <w:keepLines w:val="0"/>
              <w:widowControl/>
              <w:numPr>
                <w:ilvl w:val="0"/>
                <w:numId w:val="12"/>
              </w:numPr>
              <w:suppressLineNumbers w:val="0"/>
              <w:ind w:left="425" w:leftChars="0" w:hanging="425" w:firstLineChars="0"/>
              <w:jc w:val="left"/>
              <w:textAlignment w:val="center"/>
              <w:rPr>
                <w:rFonts w:hint="eastAsia" w:ascii="宋体" w:hAnsi="宋体" w:eastAsia="宋体" w:cs="宋体"/>
                <w:b w:val="0"/>
                <w:bCs/>
              </w:rPr>
            </w:pPr>
            <w:r>
              <w:rPr>
                <w:rFonts w:hint="eastAsia" w:ascii="宋体" w:hAnsi="宋体" w:eastAsia="宋体" w:cs="宋体"/>
                <w:b w:val="0"/>
                <w:bCs/>
                <w:i w:val="0"/>
                <w:iCs w:val="0"/>
                <w:color w:val="000000"/>
                <w:kern w:val="0"/>
                <w:sz w:val="22"/>
                <w:szCs w:val="22"/>
                <w:u w:val="none"/>
                <w:lang w:val="en-US" w:eastAsia="zh-CN" w:bidi="ar"/>
              </w:rPr>
              <w:t>支持导出请假信息。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szCs w:val="21"/>
                <w:lang w:val="en-US" w:eastAsia="zh-CN"/>
              </w:rPr>
            </w:pPr>
            <w:r>
              <w:rPr>
                <w:rFonts w:hint="eastAsia" w:ascii="宋体" w:hAnsi="宋体" w:eastAsia="宋体" w:cs="宋体"/>
                <w:b w:val="0"/>
                <w:bCs/>
                <w:szCs w:val="21"/>
                <w:lang w:val="en-US" w:eastAsia="zh-CN"/>
              </w:rPr>
              <w:t>3</w:t>
            </w:r>
          </w:p>
        </w:tc>
        <w:tc>
          <w:tcPr>
            <w:tcW w:w="654" w:type="pct"/>
            <w:vAlign w:val="center"/>
          </w:tcPr>
          <w:p>
            <w:pPr>
              <w:pStyle w:val="2"/>
              <w:jc w:val="center"/>
              <w:rPr>
                <w:rFonts w:hint="eastAsia" w:ascii="宋体" w:hAnsi="宋体" w:eastAsia="宋体" w:cs="宋体"/>
                <w:b w:val="0"/>
                <w:bCs/>
                <w:szCs w:val="21"/>
              </w:rPr>
            </w:pPr>
            <w:r>
              <w:rPr>
                <w:rFonts w:hint="eastAsia" w:ascii="宋体" w:hAnsi="宋体" w:eastAsia="宋体" w:cs="宋体"/>
                <w:b w:val="0"/>
                <w:bCs/>
                <w:szCs w:val="21"/>
              </w:rPr>
              <w:t>考勤统计</w:t>
            </w:r>
          </w:p>
          <w:p>
            <w:pPr>
              <w:pStyle w:val="2"/>
              <w:jc w:val="center"/>
              <w:rPr>
                <w:rFonts w:hint="eastAsia" w:ascii="宋体" w:hAnsi="宋体" w:eastAsia="宋体" w:cs="宋体"/>
                <w:b w:val="0"/>
                <w:bCs/>
                <w:szCs w:val="21"/>
                <w:lang w:eastAsia="zh-CN"/>
              </w:rPr>
            </w:pPr>
          </w:p>
        </w:tc>
        <w:tc>
          <w:tcPr>
            <w:tcW w:w="3903" w:type="pct"/>
            <w:vAlign w:val="center"/>
          </w:tcPr>
          <w:p>
            <w:pPr>
              <w:keepNext w:val="0"/>
              <w:keepLines w:val="0"/>
              <w:widowControl/>
              <w:numPr>
                <w:ilvl w:val="0"/>
                <w:numId w:val="0"/>
              </w:numPr>
              <w:suppressLineNumbers w:val="0"/>
              <w:ind w:left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系统自动生成出勤报表：系统自动生成会议报表，管理者可通过各类的出勤报表</w:t>
            </w:r>
          </w:p>
          <w:p>
            <w:pPr>
              <w:keepNext w:val="0"/>
              <w:keepLines w:val="0"/>
              <w:widowControl/>
              <w:numPr>
                <w:ilvl w:val="0"/>
                <w:numId w:val="13"/>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可统计规培生个人日常考勤、值班考勤、轮转考勤、违纪情况、出勤考勤情况；</w:t>
            </w:r>
          </w:p>
          <w:p>
            <w:pPr>
              <w:keepNext w:val="0"/>
              <w:keepLines w:val="0"/>
              <w:widowControl/>
              <w:numPr>
                <w:ilvl w:val="0"/>
                <w:numId w:val="13"/>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支持调整在院状态；</w:t>
            </w:r>
          </w:p>
          <w:p>
            <w:pPr>
              <w:keepNext w:val="0"/>
              <w:keepLines w:val="0"/>
              <w:widowControl/>
              <w:numPr>
                <w:ilvl w:val="0"/>
                <w:numId w:val="13"/>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可按日期、年级、机构、请假天数筛选，支持按姓名、工号搜索。</w:t>
            </w:r>
          </w:p>
          <w:p>
            <w:pPr>
              <w:keepNext w:val="0"/>
              <w:keepLines w:val="0"/>
              <w:widowControl/>
              <w:numPr>
                <w:ilvl w:val="0"/>
                <w:numId w:val="13"/>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u w:val="none"/>
                <w:lang w:val="en-US" w:eastAsia="zh-CN" w:bidi="ar"/>
              </w:rPr>
            </w:pPr>
            <w:r>
              <w:rPr>
                <w:rFonts w:hint="eastAsia" w:ascii="宋体" w:hAnsi="宋体" w:eastAsia="宋体" w:cs="宋体"/>
                <w:b w:val="0"/>
                <w:bCs/>
                <w:i w:val="0"/>
                <w:iCs w:val="0"/>
                <w:color w:val="000000"/>
                <w:kern w:val="0"/>
                <w:sz w:val="22"/>
                <w:szCs w:val="22"/>
                <w:u w:val="none"/>
                <w:lang w:val="en-US" w:eastAsia="zh-CN" w:bidi="ar"/>
              </w:rPr>
              <w:t>支持按确认状态、状态、院区进行筛选；</w:t>
            </w:r>
          </w:p>
          <w:p>
            <w:pPr>
              <w:keepNext w:val="0"/>
              <w:keepLines w:val="0"/>
              <w:widowControl/>
              <w:numPr>
                <w:ilvl w:val="0"/>
                <w:numId w:val="13"/>
              </w:numPr>
              <w:suppressLineNumbers w:val="0"/>
              <w:ind w:left="425" w:leftChars="0" w:hanging="425" w:firstLineChars="0"/>
              <w:jc w:val="left"/>
              <w:textAlignment w:val="center"/>
              <w:rPr>
                <w:rFonts w:hint="eastAsia" w:ascii="宋体" w:hAnsi="宋体" w:eastAsia="宋体" w:cs="宋体"/>
                <w:b w:val="0"/>
                <w:bCs/>
              </w:rPr>
            </w:pPr>
            <w:r>
              <w:rPr>
                <w:rFonts w:hint="eastAsia" w:ascii="宋体" w:hAnsi="宋体" w:eastAsia="宋体" w:cs="宋体"/>
                <w:b w:val="0"/>
                <w:bCs/>
                <w:i w:val="0"/>
                <w:iCs w:val="0"/>
                <w:color w:val="000000"/>
                <w:kern w:val="0"/>
                <w:sz w:val="22"/>
                <w:szCs w:val="22"/>
                <w:u w:val="none"/>
                <w:lang w:val="en-US" w:eastAsia="zh-CN" w:bidi="ar"/>
              </w:rPr>
              <w:t>可按科室、年份、月份查看和导出考勤明细。</w:t>
            </w:r>
          </w:p>
        </w:tc>
      </w:tr>
    </w:tbl>
    <w:p>
      <w:pPr>
        <w:pStyle w:val="4"/>
        <w:spacing w:before="0" w:after="0"/>
        <w:rPr>
          <w:rFonts w:hint="eastAsia" w:ascii="宋体" w:hAnsi="宋体" w:eastAsia="宋体" w:cs="宋体"/>
          <w:b w:val="0"/>
          <w:bCs/>
          <w:sz w:val="24"/>
          <w:szCs w:val="24"/>
          <w:lang w:eastAsia="zh-CN"/>
        </w:rPr>
      </w:pPr>
      <w:r>
        <w:rPr>
          <w:rFonts w:hint="eastAsia" w:ascii="宋体" w:hAnsi="宋体" w:eastAsia="宋体" w:cs="宋体"/>
          <w:b w:val="0"/>
          <w:bCs/>
          <w:sz w:val="24"/>
          <w:szCs w:val="24"/>
        </w:rPr>
        <w:t>3.</w:t>
      </w: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、博士后管理子系统</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21"/>
        <w:gridCol w:w="1215"/>
        <w:gridCol w:w="7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blHeader/>
        </w:trPr>
        <w:tc>
          <w:tcPr>
            <w:tcW w:w="442" w:type="pct"/>
            <w:shd w:val="clear" w:color="auto" w:fill="auto"/>
            <w:vAlign w:val="center"/>
          </w:tcPr>
          <w:p>
            <w:pPr>
              <w:widowControl/>
              <w:jc w:val="center"/>
              <w:rPr>
                <w:rFonts w:hint="eastAsia" w:ascii="宋体" w:hAnsi="宋体" w:eastAsia="宋体" w:cs="宋体"/>
                <w:b w:val="0"/>
                <w:bCs/>
                <w:szCs w:val="21"/>
                <w:highlight w:val="none"/>
              </w:rPr>
            </w:pPr>
            <w:r>
              <w:rPr>
                <w:rFonts w:hint="eastAsia" w:ascii="宋体" w:hAnsi="宋体" w:eastAsia="宋体" w:cs="宋体"/>
                <w:b w:val="0"/>
                <w:bCs/>
                <w:szCs w:val="21"/>
                <w:highlight w:val="none"/>
              </w:rPr>
              <w:t>序号</w:t>
            </w:r>
          </w:p>
        </w:tc>
        <w:tc>
          <w:tcPr>
            <w:tcW w:w="654" w:type="pct"/>
            <w:shd w:val="clear" w:color="auto" w:fill="auto"/>
            <w:vAlign w:val="center"/>
          </w:tcPr>
          <w:p>
            <w:pPr>
              <w:widowControl/>
              <w:jc w:val="center"/>
              <w:rPr>
                <w:rFonts w:hint="eastAsia" w:ascii="宋体" w:hAnsi="宋体" w:eastAsia="宋体" w:cs="宋体"/>
                <w:b w:val="0"/>
                <w:bCs/>
                <w:szCs w:val="21"/>
                <w:highlight w:val="none"/>
              </w:rPr>
            </w:pPr>
            <w:r>
              <w:rPr>
                <w:rFonts w:hint="eastAsia" w:ascii="宋体" w:hAnsi="宋体" w:eastAsia="宋体" w:cs="宋体"/>
                <w:b w:val="0"/>
                <w:bCs/>
                <w:szCs w:val="21"/>
                <w:highlight w:val="none"/>
              </w:rPr>
              <w:t>功能模块</w:t>
            </w:r>
          </w:p>
        </w:tc>
        <w:tc>
          <w:tcPr>
            <w:tcW w:w="3903" w:type="pct"/>
            <w:shd w:val="clear" w:color="auto" w:fill="auto"/>
            <w:vAlign w:val="center"/>
          </w:tcPr>
          <w:p>
            <w:pPr>
              <w:widowControl/>
              <w:jc w:val="center"/>
              <w:rPr>
                <w:rFonts w:hint="eastAsia" w:ascii="宋体" w:hAnsi="宋体" w:eastAsia="宋体" w:cs="宋体"/>
                <w:b w:val="0"/>
                <w:bCs/>
                <w:szCs w:val="21"/>
                <w:highlight w:val="none"/>
              </w:rPr>
            </w:pPr>
            <w:r>
              <w:rPr>
                <w:rFonts w:hint="eastAsia" w:ascii="宋体" w:hAnsi="宋体" w:eastAsia="宋体" w:cs="宋体"/>
                <w:b w:val="0"/>
                <w:bCs/>
                <w:szCs w:val="21"/>
                <w:highlight w:val="none"/>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shd w:val="clear" w:color="auto" w:fill="auto"/>
            <w:vAlign w:val="center"/>
          </w:tcPr>
          <w:p>
            <w:pPr>
              <w:widowControl/>
              <w:jc w:val="center"/>
              <w:rPr>
                <w:rFonts w:hint="eastAsia" w:ascii="宋体" w:hAnsi="宋体" w:eastAsia="宋体" w:cs="宋体"/>
                <w:b w:val="0"/>
                <w:bCs/>
                <w:szCs w:val="21"/>
                <w:highlight w:val="none"/>
              </w:rPr>
            </w:pPr>
            <w:r>
              <w:rPr>
                <w:rFonts w:hint="eastAsia" w:ascii="宋体" w:hAnsi="宋体" w:eastAsia="宋体" w:cs="宋体"/>
                <w:b w:val="0"/>
                <w:bCs/>
                <w:szCs w:val="21"/>
                <w:highlight w:val="none"/>
              </w:rPr>
              <w:t>1</w:t>
            </w:r>
          </w:p>
        </w:tc>
        <w:tc>
          <w:tcPr>
            <w:tcW w:w="654" w:type="pct"/>
            <w:shd w:val="clear" w:color="auto" w:fill="auto"/>
            <w:vAlign w:val="center"/>
          </w:tcPr>
          <w:p>
            <w:pPr>
              <w:pStyle w:val="2"/>
              <w:jc w:val="center"/>
              <w:rPr>
                <w:rFonts w:hint="eastAsia" w:ascii="宋体" w:hAnsi="宋体" w:eastAsia="宋体" w:cs="宋体"/>
                <w:b w:val="0"/>
                <w:bCs/>
                <w:highlight w:val="none"/>
                <w:lang w:val="en-US" w:eastAsia="zh-CN"/>
              </w:rPr>
            </w:pPr>
            <w:r>
              <w:rPr>
                <w:rFonts w:hint="eastAsia" w:ascii="宋体" w:hAnsi="宋体" w:eastAsia="宋体" w:cs="宋体"/>
                <w:b w:val="0"/>
                <w:bCs/>
                <w:highlight w:val="none"/>
              </w:rPr>
              <w:t>招录管理</w:t>
            </w:r>
          </w:p>
        </w:tc>
        <w:tc>
          <w:tcPr>
            <w:tcW w:w="3903" w:type="pct"/>
            <w:shd w:val="clear" w:color="auto" w:fill="auto"/>
            <w:vAlign w:val="center"/>
          </w:tcPr>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支持管理员开启导师招录博士后申请入口，设置博士后导师申请时间段和开放时间；</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导师进行招录博士后申请，填写个人资料、发起博士后合作导师资格（填写科室、学科、研究方向、合作流动站单位等信息）、发起博士后招录（填写拟招收名额、承担或参与科研项目和课题、招录要求等信息），联网信息需由系统直接获取；</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支持从类型（工作站、流动站）和状态（待审批、已通过、未通过、已退回、全部）等维度查看个人博士后招录申请记录，可按年份筛选或工号、姓名检索；</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支持从类型和状态等维度查阅和审批导师的博士后招录申请，可按年份筛选或工号、姓名检索；支持批量审批、删除导师的博士后招录申请，审核通过后的博士后导师信息自动录入博士后导师库；</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支持管理员对制定招录计划，设置招录类型、计划名称、招录年份、计划时间等信息，支持从系统中选取全部或部分招录导师，可对招录计划进行创建、编辑、复制和删除；</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支持设置每位导师的招录状态，可对导师的招录信息进行查看、编辑和删除；</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支持管理员发布招录计划至博士后招录门户，按招录年份、计划、类型、学科等维度在招录门户上查看博士后招录信息；</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支持报名人员提交报名申请，填写基本信息，上传进站前科研成果和报名材料等，支持相关附件的上传、预览和删除；</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管理员自定义设置审批流程（资料初审、导师面试、学员管理员审核、预录用），可查看报名人员的报名信息、各阶段审批状态，支持报名名单、附件、成绩的导入；支持管理员对报名人员审批状态的修改、可手动批量审批、批量导出；</w:t>
            </w:r>
          </w:p>
          <w:p>
            <w:pPr>
              <w:keepNext w:val="0"/>
              <w:keepLines w:val="0"/>
              <w:widowControl/>
              <w:numPr>
                <w:ilvl w:val="0"/>
                <w:numId w:val="14"/>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支持审批结果和状态通知发送。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442" w:type="pct"/>
            <w:shd w:val="clear" w:color="auto" w:fill="auto"/>
            <w:vAlign w:val="center"/>
          </w:tcPr>
          <w:p>
            <w:pPr>
              <w:widowControl/>
              <w:jc w:val="center"/>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2</w:t>
            </w:r>
          </w:p>
        </w:tc>
        <w:tc>
          <w:tcPr>
            <w:tcW w:w="654" w:type="pct"/>
            <w:shd w:val="clear" w:color="auto" w:fill="auto"/>
            <w:vAlign w:val="center"/>
          </w:tcPr>
          <w:p>
            <w:pPr>
              <w:pStyle w:val="2"/>
              <w:jc w:val="center"/>
              <w:rPr>
                <w:rFonts w:hint="eastAsia" w:ascii="宋体" w:hAnsi="宋体" w:eastAsia="宋体" w:cs="宋体"/>
                <w:b w:val="0"/>
                <w:bCs/>
                <w:szCs w:val="21"/>
                <w:highlight w:val="none"/>
                <w:lang w:eastAsia="zh-CN"/>
              </w:rPr>
            </w:pPr>
            <w:r>
              <w:rPr>
                <w:rFonts w:hint="eastAsia" w:ascii="宋体" w:hAnsi="宋体" w:eastAsia="宋体" w:cs="宋体"/>
                <w:b w:val="0"/>
                <w:bCs/>
                <w:highlight w:val="none"/>
              </w:rPr>
              <w:t>进出站管理</w:t>
            </w:r>
          </w:p>
        </w:tc>
        <w:tc>
          <w:tcPr>
            <w:tcW w:w="3903" w:type="pct"/>
            <w:shd w:val="clear" w:color="auto" w:fill="auto"/>
            <w:vAlign w:val="center"/>
          </w:tcPr>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支持博士博士后填写基本资料，留学经历、学习经历、工作经历等个人情况信息和多种类型的科研项目信息进行信息填报。</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支持博士后填写进站时间，工号，科室等信息并上传进站材料进行进站申请；</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管理员查看审批博士后的进站申请列表，可按状态（待审批、已同意、已拒绝）进行分类查看审批；博士后从类型（进站、提前出站、延期出站、退站、全部）和状态（待审批、已通过、未通过、已退回、全部）等维度查看个人进出站申请记录。</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支持管理员以关键词检索博士后出入站申请、批量审核博士后出入站申请；</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支持根据科室维度来了解报到情况、管理员展示报到二维码、设置报到须知，可手动批量报到、批量删除；</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支持管理员添加开题情况、中期考核、出站考核的预设时间和持续时间，预设时间提醒博士后提交开题情况、中期考核、出站考核相关资料；</w:t>
            </w:r>
          </w:p>
          <w:p>
            <w:pPr>
              <w:keepNext w:val="0"/>
              <w:keepLines w:val="0"/>
              <w:widowControl/>
              <w:numPr>
                <w:ilvl w:val="0"/>
                <w:numId w:val="15"/>
              </w:numPr>
              <w:suppressLineNumbers w:val="0"/>
              <w:ind w:left="425" w:leftChars="0" w:hanging="425" w:firstLineChars="0"/>
              <w:jc w:val="left"/>
              <w:textAlignment w:val="center"/>
              <w:rPr>
                <w:rFonts w:hint="eastAsia"/>
                <w:highlight w:val="none"/>
                <w:lang w:val="en-US" w:eastAsia="zh-CN"/>
              </w:rPr>
            </w:pPr>
            <w:r>
              <w:rPr>
                <w:rFonts w:hint="eastAsia"/>
                <w:highlight w:val="none"/>
                <w:lang w:val="en-US" w:eastAsia="zh-CN"/>
              </w:rPr>
              <w:t>支持进行进出站统计查看工作站、流动站博士后名单及详细信息；从在站状态、科室、学科、职称等级、政治面貌、性别等方面对博士后人数进行分析汇总，支持饼状图和条形图展示，可导出数据；从按照时间（近3年、近5年、自定义时间）维度对博士后人数进行分析汇总，支持饼状图和条形图展示，可导出数据。</w:t>
            </w:r>
          </w:p>
          <w:p>
            <w:pPr>
              <w:pStyle w:val="2"/>
              <w:numPr>
                <w:ilvl w:val="0"/>
                <w:numId w:val="15"/>
              </w:numPr>
              <w:ind w:left="425" w:leftChars="0" w:hanging="425" w:firstLineChars="0"/>
              <w:rPr>
                <w:rFonts w:hint="default"/>
                <w:highlight w:val="none"/>
                <w:lang w:val="en-US" w:eastAsia="zh-CN"/>
              </w:rPr>
            </w:pPr>
            <w:r>
              <w:rPr>
                <w:rFonts w:hint="eastAsia"/>
                <w:highlight w:val="none"/>
                <w:lang w:val="en-US" w:eastAsia="zh-CN"/>
              </w:rPr>
              <w:t>根据设置条件，判断是否达到出站要求。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442" w:type="pct"/>
            <w:shd w:val="clear" w:color="auto" w:fill="auto"/>
            <w:vAlign w:val="center"/>
          </w:tcPr>
          <w:p>
            <w:pPr>
              <w:widowControl/>
              <w:jc w:val="center"/>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3</w:t>
            </w:r>
          </w:p>
        </w:tc>
        <w:tc>
          <w:tcPr>
            <w:tcW w:w="654" w:type="pct"/>
            <w:shd w:val="clear" w:color="auto" w:fill="auto"/>
            <w:vAlign w:val="center"/>
          </w:tcPr>
          <w:p>
            <w:pPr>
              <w:pStyle w:val="2"/>
              <w:jc w:val="center"/>
              <w:rPr>
                <w:rFonts w:hint="eastAsia" w:ascii="宋体" w:hAnsi="宋体" w:eastAsia="宋体" w:cs="宋体"/>
                <w:b w:val="0"/>
                <w:bCs/>
                <w:szCs w:val="21"/>
                <w:highlight w:val="none"/>
                <w:lang w:eastAsia="zh-CN"/>
              </w:rPr>
            </w:pPr>
            <w:r>
              <w:rPr>
                <w:rFonts w:hint="eastAsia" w:ascii="宋体" w:hAnsi="宋体" w:eastAsia="宋体" w:cs="宋体"/>
                <w:b w:val="0"/>
                <w:bCs/>
                <w:highlight w:val="none"/>
              </w:rPr>
              <w:t>在站管理</w:t>
            </w:r>
          </w:p>
        </w:tc>
        <w:tc>
          <w:tcPr>
            <w:tcW w:w="3903" w:type="pct"/>
            <w:shd w:val="clear" w:color="auto" w:fill="auto"/>
            <w:vAlign w:val="center"/>
          </w:tcPr>
          <w:p>
            <w:pPr>
              <w:keepNext w:val="0"/>
              <w:keepLines w:val="0"/>
              <w:widowControl/>
              <w:numPr>
                <w:ilvl w:val="0"/>
                <w:numId w:val="16"/>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支持博士后进行开题线上申请、上传开题资料、专家信息等，管理员在线审批并录入审核结果和专家意见；</w:t>
            </w:r>
          </w:p>
          <w:p>
            <w:pPr>
              <w:keepNext w:val="0"/>
              <w:keepLines w:val="0"/>
              <w:widowControl/>
              <w:numPr>
                <w:ilvl w:val="0"/>
                <w:numId w:val="16"/>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支持博士后添加和查看学术报告会基本信息并显示当前状态（未完成、进行中、已完成），实现管理员任务申请的审批和状态查看，支持个人维度学术报告会个数汇总；</w:t>
            </w:r>
          </w:p>
          <w:p>
            <w:pPr>
              <w:keepNext w:val="0"/>
              <w:keepLines w:val="0"/>
              <w:widowControl/>
              <w:numPr>
                <w:ilvl w:val="0"/>
                <w:numId w:val="16"/>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博士后进行线上申请、上传开中期汇报资料、专家信息等，管理员在线审批并录入审核结果和专家意见；支持自定义考核结果级别（优秀、良好、合格、不合格等）；</w:t>
            </w:r>
          </w:p>
          <w:p>
            <w:pPr>
              <w:keepNext w:val="0"/>
              <w:keepLines w:val="0"/>
              <w:widowControl/>
              <w:numPr>
                <w:ilvl w:val="0"/>
                <w:numId w:val="16"/>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支持管理员对项目创建和类型选择，查看并审批博士后添加和申请的项目，可统计查看所有添加的学术交流项目，博士后查看个人申请结果。</w:t>
            </w:r>
          </w:p>
          <w:p>
            <w:pPr>
              <w:keepNext w:val="0"/>
              <w:keepLines w:val="0"/>
              <w:widowControl/>
              <w:numPr>
                <w:ilvl w:val="0"/>
                <w:numId w:val="16"/>
              </w:numPr>
              <w:suppressLineNumbers w:val="0"/>
              <w:ind w:left="425" w:leftChars="0" w:hanging="425" w:firstLineChars="0"/>
              <w:jc w:val="left"/>
              <w:textAlignment w:val="center"/>
              <w:rPr>
                <w:rFonts w:hint="eastAsia" w:ascii="宋体" w:hAnsi="宋体" w:eastAsia="宋体" w:cs="宋体"/>
                <w:b w:val="0"/>
                <w:bCs/>
                <w:highlight w:val="none"/>
              </w:rPr>
            </w:pPr>
            <w:r>
              <w:rPr>
                <w:rFonts w:hint="eastAsia" w:ascii="宋体" w:hAnsi="宋体" w:eastAsia="宋体" w:cs="宋体"/>
                <w:b w:val="0"/>
                <w:bCs/>
                <w:i w:val="0"/>
                <w:iCs w:val="0"/>
                <w:color w:val="000000"/>
                <w:kern w:val="0"/>
                <w:sz w:val="22"/>
                <w:szCs w:val="22"/>
                <w:highlight w:val="none"/>
                <w:u w:val="none"/>
                <w:lang w:val="en-US" w:eastAsia="zh-CN" w:bidi="ar"/>
              </w:rPr>
              <w:t>支持形成出站考核列表，记录出站考核活动的人数、日期、完成情况等信息；创建出站考核任务，选择出站考核对象（延期出站、出站审核通过、已申请出站博士后）；查阅博士后科研成果、论文、研究工作书面报告等出站资料；管理员可在线审批并录入审核结果和相关考核评语，可自定义考核结果级别（优秀、良好、合格、不合格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442" w:type="pct"/>
            <w:shd w:val="clear" w:color="auto" w:fill="auto"/>
            <w:vAlign w:val="center"/>
          </w:tcPr>
          <w:p>
            <w:pPr>
              <w:widowControl/>
              <w:jc w:val="center"/>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4</w:t>
            </w:r>
          </w:p>
        </w:tc>
        <w:tc>
          <w:tcPr>
            <w:tcW w:w="654" w:type="pct"/>
            <w:shd w:val="clear" w:color="auto" w:fill="auto"/>
            <w:vAlign w:val="center"/>
          </w:tcPr>
          <w:p>
            <w:pPr>
              <w:pStyle w:val="2"/>
              <w:jc w:val="center"/>
              <w:rPr>
                <w:rFonts w:hint="eastAsia" w:ascii="宋体" w:hAnsi="宋体" w:eastAsia="宋体" w:cs="宋体"/>
                <w:b w:val="0"/>
                <w:bCs/>
                <w:szCs w:val="21"/>
                <w:highlight w:val="none"/>
                <w:lang w:eastAsia="zh-CN"/>
              </w:rPr>
            </w:pPr>
            <w:r>
              <w:rPr>
                <w:rFonts w:hint="eastAsia" w:ascii="宋体" w:hAnsi="宋体" w:eastAsia="宋体" w:cs="宋体"/>
                <w:b w:val="0"/>
                <w:bCs/>
                <w:highlight w:val="none"/>
              </w:rPr>
              <w:t>在站成果管理</w:t>
            </w:r>
          </w:p>
        </w:tc>
        <w:tc>
          <w:tcPr>
            <w:tcW w:w="3903" w:type="pct"/>
            <w:shd w:val="clear" w:color="auto" w:fill="auto"/>
            <w:vAlign w:val="center"/>
          </w:tcPr>
          <w:p>
            <w:pPr>
              <w:keepNext w:val="0"/>
              <w:keepLines w:val="0"/>
              <w:widowControl/>
              <w:numPr>
                <w:ilvl w:val="0"/>
                <w:numId w:val="17"/>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支持博士后添加代表性论文、参与或主持的项目、专利情况、代表性专著、科研成果、奖励和荣誉称号等在站成果，管理员对博士后申请的在站成果进行审批，审批后博士后不可修改；</w:t>
            </w:r>
          </w:p>
          <w:p>
            <w:pPr>
              <w:keepNext w:val="0"/>
              <w:keepLines w:val="0"/>
              <w:widowControl/>
              <w:numPr>
                <w:ilvl w:val="0"/>
                <w:numId w:val="17"/>
              </w:numPr>
              <w:suppressLineNumbers w:val="0"/>
              <w:ind w:left="425" w:leftChars="0" w:hanging="425" w:firstLineChars="0"/>
              <w:jc w:val="left"/>
              <w:textAlignment w:val="center"/>
              <w:rPr>
                <w:rFonts w:hint="eastAsia" w:ascii="宋体" w:hAnsi="宋体" w:eastAsia="宋体" w:cs="宋体"/>
                <w:b w:val="0"/>
                <w:bCs/>
                <w:i w:val="0"/>
                <w:iCs w:val="0"/>
                <w:color w:val="000000"/>
                <w:kern w:val="0"/>
                <w:sz w:val="22"/>
                <w:szCs w:val="22"/>
                <w:highlight w:val="none"/>
                <w:u w:val="none"/>
                <w:lang w:val="en-US" w:eastAsia="zh-CN" w:bidi="ar"/>
              </w:rPr>
            </w:pPr>
            <w:r>
              <w:rPr>
                <w:rFonts w:hint="eastAsia" w:ascii="宋体" w:hAnsi="宋体" w:eastAsia="宋体" w:cs="宋体"/>
                <w:b w:val="0"/>
                <w:bCs/>
                <w:i w:val="0"/>
                <w:iCs w:val="0"/>
                <w:color w:val="000000"/>
                <w:kern w:val="0"/>
                <w:sz w:val="22"/>
                <w:szCs w:val="22"/>
                <w:highlight w:val="none"/>
                <w:u w:val="none"/>
                <w:lang w:val="en-US" w:eastAsia="zh-CN" w:bidi="ar"/>
              </w:rPr>
              <w:t>支持学术交流、科研合作、综合能力培训、科研项目和基金等申请审批流程自定义设置；</w:t>
            </w:r>
          </w:p>
          <w:p>
            <w:pPr>
              <w:keepNext w:val="0"/>
              <w:keepLines w:val="0"/>
              <w:widowControl/>
              <w:numPr>
                <w:ilvl w:val="0"/>
                <w:numId w:val="17"/>
              </w:numPr>
              <w:suppressLineNumbers w:val="0"/>
              <w:ind w:left="425" w:leftChars="0" w:hanging="425" w:firstLineChars="0"/>
              <w:jc w:val="left"/>
              <w:textAlignment w:val="center"/>
              <w:rPr>
                <w:rFonts w:hint="eastAsia" w:ascii="宋体" w:hAnsi="宋体" w:eastAsia="宋体" w:cs="宋体"/>
                <w:b w:val="0"/>
                <w:bCs/>
                <w:highlight w:val="none"/>
              </w:rPr>
            </w:pPr>
            <w:r>
              <w:rPr>
                <w:rFonts w:hint="eastAsia" w:ascii="宋体" w:hAnsi="宋体" w:eastAsia="宋体" w:cs="宋体"/>
                <w:b w:val="0"/>
                <w:bCs/>
                <w:i w:val="0"/>
                <w:iCs w:val="0"/>
                <w:color w:val="000000"/>
                <w:kern w:val="0"/>
                <w:sz w:val="22"/>
                <w:szCs w:val="22"/>
                <w:highlight w:val="none"/>
                <w:u w:val="none"/>
                <w:lang w:val="en-US" w:eastAsia="zh-CN" w:bidi="ar"/>
              </w:rPr>
              <w:t>支持从科室和个人等维度汇总在站成果占比。</w:t>
            </w:r>
          </w:p>
        </w:tc>
      </w:tr>
    </w:tbl>
    <w:p>
      <w:pPr>
        <w:pStyle w:val="4"/>
        <w:spacing w:before="0" w:after="0"/>
        <w:rPr>
          <w:rFonts w:hint="eastAsia" w:ascii="宋体" w:hAnsi="宋体" w:eastAsia="宋体" w:cs="宋体"/>
          <w:b w:val="0"/>
          <w:bCs/>
          <w:sz w:val="24"/>
          <w:szCs w:val="24"/>
          <w:lang w:val="en-US"/>
        </w:rPr>
      </w:pPr>
      <w:r>
        <w:rPr>
          <w:rFonts w:hint="eastAsia" w:ascii="宋体" w:hAnsi="宋体" w:eastAsia="宋体" w:cs="宋体"/>
          <w:b w:val="0"/>
          <w:bCs/>
          <w:sz w:val="24"/>
          <w:szCs w:val="24"/>
        </w:rPr>
        <w:t>3.</w:t>
      </w:r>
      <w:r>
        <w:rPr>
          <w:rFonts w:hint="eastAsia" w:ascii="宋体" w:hAnsi="宋体" w:eastAsia="宋体" w:cs="宋体"/>
          <w:b w:val="0"/>
          <w:bCs/>
          <w:sz w:val="24"/>
          <w:szCs w:val="24"/>
          <w:lang w:val="en-US" w:eastAsia="zh-CN"/>
        </w:rPr>
        <w:t>4</w:t>
      </w:r>
      <w:r>
        <w:rPr>
          <w:rFonts w:hint="eastAsia" w:ascii="宋体" w:hAnsi="宋体" w:eastAsia="宋体" w:cs="宋体"/>
          <w:b w:val="0"/>
          <w:bCs/>
          <w:sz w:val="24"/>
          <w:szCs w:val="24"/>
        </w:rPr>
        <w:t>、进修生管理子系统</w:t>
      </w:r>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1215"/>
        <w:gridCol w:w="7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blHeader/>
        </w:trPr>
        <w:tc>
          <w:tcPr>
            <w:tcW w:w="442" w:type="pct"/>
            <w:vAlign w:val="center"/>
          </w:tcPr>
          <w:p>
            <w:pPr>
              <w:widowControl/>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序号</w:t>
            </w:r>
          </w:p>
        </w:tc>
        <w:tc>
          <w:tcPr>
            <w:tcW w:w="654" w:type="pct"/>
            <w:vAlign w:val="center"/>
          </w:tcPr>
          <w:p>
            <w:pPr>
              <w:widowControl/>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功能模块</w:t>
            </w:r>
          </w:p>
        </w:tc>
        <w:tc>
          <w:tcPr>
            <w:tcW w:w="3903" w:type="pct"/>
            <w:vAlign w:val="center"/>
          </w:tcPr>
          <w:p>
            <w:pPr>
              <w:widowControl/>
              <w:jc w:val="center"/>
              <w:rPr>
                <w:rFonts w:hint="eastAsia" w:ascii="宋体" w:hAnsi="宋体" w:eastAsia="宋体" w:cs="宋体"/>
                <w:b w:val="0"/>
                <w:bCs/>
                <w:color w:val="auto"/>
                <w:szCs w:val="21"/>
              </w:rPr>
            </w:pPr>
            <w:r>
              <w:rPr>
                <w:rFonts w:hint="eastAsia" w:ascii="宋体" w:hAnsi="宋体" w:eastAsia="宋体" w:cs="宋体"/>
                <w:b w:val="0"/>
                <w:bCs/>
                <w:color w:val="auto"/>
                <w:szCs w:val="21"/>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1</w:t>
            </w:r>
          </w:p>
        </w:tc>
        <w:tc>
          <w:tcPr>
            <w:tcW w:w="654" w:type="pct"/>
            <w:vAlign w:val="center"/>
          </w:tcPr>
          <w:p>
            <w:pPr>
              <w:pStyle w:val="2"/>
              <w:jc w:val="center"/>
              <w:rPr>
                <w:rFonts w:hint="default" w:ascii="宋体" w:hAnsi="宋体" w:eastAsia="宋体" w:cs="宋体"/>
                <w:b w:val="0"/>
                <w:bCs/>
                <w:color w:val="auto"/>
                <w:lang w:val="en-US" w:eastAsia="zh-CN"/>
              </w:rPr>
            </w:pPr>
            <w:r>
              <w:rPr>
                <w:rFonts w:hint="eastAsia" w:ascii="宋体" w:hAnsi="宋体" w:cs="宋体"/>
                <w:b w:val="0"/>
                <w:bCs/>
                <w:color w:val="auto"/>
                <w:lang w:val="en-US" w:eastAsia="zh-CN"/>
              </w:rPr>
              <w:t>进修生门户</w:t>
            </w:r>
          </w:p>
        </w:tc>
        <w:tc>
          <w:tcPr>
            <w:tcW w:w="3903" w:type="pct"/>
            <w:vAlign w:val="center"/>
          </w:tcPr>
          <w:p>
            <w:pPr>
              <w:keepNext w:val="0"/>
              <w:keepLines w:val="0"/>
              <w:widowControl/>
              <w:numPr>
                <w:ilvl w:val="0"/>
                <w:numId w:val="18"/>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提供</w:t>
            </w:r>
            <w:r>
              <w:rPr>
                <w:rFonts w:hint="eastAsia"/>
                <w:color w:val="auto"/>
              </w:rPr>
              <w:t>进修须知列表/进修须知详情/进修须知附件下载/后端进修政策列表/进修政策维护以及发布</w:t>
            </w:r>
            <w:r>
              <w:rPr>
                <w:rFonts w:hint="eastAsia"/>
                <w:color w:val="auto"/>
                <w:lang w:val="en-US" w:eastAsia="zh-CN"/>
              </w:rPr>
              <w:t>；</w:t>
            </w:r>
          </w:p>
          <w:p>
            <w:pPr>
              <w:keepNext w:val="0"/>
              <w:keepLines w:val="0"/>
              <w:widowControl/>
              <w:numPr>
                <w:ilvl w:val="0"/>
                <w:numId w:val="18"/>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提供个人中心模块：包括个人注册、密码修改、密码找回、用户登录校验；在线支付（支持</w:t>
            </w:r>
            <w:r>
              <w:rPr>
                <w:rFonts w:hint="eastAsia"/>
                <w:color w:val="auto"/>
              </w:rPr>
              <w:t>微信/支付宝</w:t>
            </w:r>
            <w:r>
              <w:rPr>
                <w:rFonts w:hint="eastAsia"/>
                <w:color w:val="auto"/>
                <w:lang w:val="en-US" w:eastAsia="zh-CN"/>
              </w:rPr>
              <w:t>等支付方式</w:t>
            </w:r>
            <w:r>
              <w:rPr>
                <w:rFonts w:hint="eastAsia"/>
                <w:color w:val="auto"/>
                <w:lang w:eastAsia="zh-CN"/>
              </w:rPr>
              <w:t>），</w:t>
            </w:r>
            <w:r>
              <w:rPr>
                <w:rFonts w:hint="eastAsia"/>
                <w:color w:val="auto"/>
                <w:lang w:val="en-US" w:eastAsia="zh-CN"/>
              </w:rPr>
              <w:t>可查询支付记录）；录取查询，包括</w:t>
            </w:r>
            <w:r>
              <w:rPr>
                <w:rFonts w:hint="eastAsia"/>
                <w:color w:val="auto"/>
              </w:rPr>
              <w:t>申请单列表/申请单信息编辑/录取通知书/离院单</w:t>
            </w:r>
            <w:r>
              <w:rPr>
                <w:rFonts w:hint="eastAsia"/>
                <w:color w:val="auto"/>
                <w:lang w:val="en-US" w:eastAsia="zh-CN"/>
              </w:rPr>
              <w:t>；进修反馈：</w:t>
            </w:r>
            <w:r>
              <w:rPr>
                <w:rFonts w:hint="eastAsia"/>
                <w:color w:val="auto"/>
              </w:rPr>
              <w:t>反馈信息表单/反馈历史信息列表已经院方的解答</w:t>
            </w:r>
          </w:p>
          <w:p>
            <w:pPr>
              <w:keepNext w:val="0"/>
              <w:keepLines w:val="0"/>
              <w:widowControl/>
              <w:numPr>
                <w:ilvl w:val="0"/>
                <w:numId w:val="18"/>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显示技术支持的电话，协助跟进进修生需求遇到需要后台技术支持时（如填表后无法保存、录取后无法打印录取通知书等）求助。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2</w:t>
            </w:r>
          </w:p>
        </w:tc>
        <w:tc>
          <w:tcPr>
            <w:tcW w:w="654" w:type="pct"/>
            <w:vAlign w:val="center"/>
          </w:tcPr>
          <w:p>
            <w:pPr>
              <w:pStyle w:val="2"/>
              <w:jc w:val="center"/>
              <w:rPr>
                <w:rFonts w:hint="default" w:ascii="宋体" w:hAnsi="宋体" w:cs="宋体"/>
                <w:b w:val="0"/>
                <w:bCs/>
                <w:color w:val="auto"/>
                <w:lang w:val="en-US" w:eastAsia="zh-CN"/>
              </w:rPr>
            </w:pPr>
            <w:r>
              <w:rPr>
                <w:rFonts w:hint="eastAsia" w:ascii="宋体" w:hAnsi="宋体" w:cs="宋体"/>
                <w:b w:val="0"/>
                <w:bCs/>
                <w:color w:val="auto"/>
                <w:lang w:val="en-US" w:eastAsia="zh-CN"/>
              </w:rPr>
              <w:t>进修报名</w:t>
            </w:r>
          </w:p>
        </w:tc>
        <w:tc>
          <w:tcPr>
            <w:tcW w:w="3903" w:type="pct"/>
            <w:vAlign w:val="center"/>
          </w:tcPr>
          <w:p>
            <w:pPr>
              <w:keepNext w:val="0"/>
              <w:keepLines w:val="0"/>
              <w:widowControl/>
              <w:numPr>
                <w:ilvl w:val="0"/>
                <w:numId w:val="19"/>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提供</w:t>
            </w:r>
            <w:r>
              <w:rPr>
                <w:rFonts w:hint="eastAsia"/>
                <w:color w:val="auto"/>
              </w:rPr>
              <w:t>进修须知阅读/进修报名批次选择/进修报名基本资料、联系方式、学习经历、工作经历填写/进修报名申请单填写、材料附件上传</w:t>
            </w:r>
            <w:r>
              <w:rPr>
                <w:rFonts w:hint="eastAsia"/>
                <w:color w:val="auto"/>
                <w:lang w:val="en-US" w:eastAsia="zh-CN"/>
              </w:rPr>
              <w:t>等功能</w:t>
            </w:r>
          </w:p>
          <w:p>
            <w:pPr>
              <w:keepNext w:val="0"/>
              <w:keepLines w:val="0"/>
              <w:widowControl/>
              <w:numPr>
                <w:ilvl w:val="0"/>
                <w:numId w:val="19"/>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提供进修生</w:t>
            </w:r>
            <w:r>
              <w:rPr>
                <w:rFonts w:hint="eastAsia"/>
                <w:color w:val="auto"/>
              </w:rPr>
              <w:t>申请报名提交的各类证明材料</w:t>
            </w:r>
            <w:r>
              <w:rPr>
                <w:rFonts w:hint="eastAsia"/>
                <w:color w:val="auto"/>
                <w:lang w:val="en-US" w:eastAsia="zh-CN"/>
              </w:rPr>
              <w:t>查询统计和导出，支持管理端批量打包下载。</w:t>
            </w:r>
          </w:p>
          <w:p>
            <w:pPr>
              <w:keepNext w:val="0"/>
              <w:keepLines w:val="0"/>
              <w:widowControl/>
              <w:numPr>
                <w:ilvl w:val="0"/>
                <w:numId w:val="19"/>
              </w:numPr>
              <w:suppressLineNumbers w:val="0"/>
              <w:ind w:left="425" w:leftChars="0" w:hanging="425" w:firstLineChars="0"/>
              <w:jc w:val="left"/>
              <w:textAlignment w:val="center"/>
              <w:rPr>
                <w:rFonts w:hint="default"/>
                <w:color w:val="auto"/>
                <w:lang w:val="en-US" w:eastAsia="zh-CN"/>
              </w:rPr>
            </w:pPr>
            <w:r>
              <w:rPr>
                <w:rFonts w:hint="eastAsia" w:ascii="Times New Roman" w:hAnsi="Times New Roman" w:eastAsia="宋体" w:cs="Times New Roman"/>
                <w:color w:val="auto"/>
                <w:kern w:val="2"/>
                <w:sz w:val="21"/>
                <w:szCs w:val="24"/>
                <w:lang w:val="en-US" w:eastAsia="zh-CN" w:bidi="ar-SA"/>
              </w:rPr>
              <w:t>进修生报名</w:t>
            </w:r>
            <w:r>
              <w:rPr>
                <w:rFonts w:hint="eastAsia"/>
                <w:color w:val="auto"/>
                <w:lang w:val="en-US" w:eastAsia="zh-CN"/>
              </w:rPr>
              <w:t>申请需录入</w:t>
            </w:r>
            <w:r>
              <w:rPr>
                <w:rFonts w:hint="eastAsia" w:ascii="Times New Roman" w:hAnsi="Times New Roman" w:eastAsia="宋体" w:cs="Times New Roman"/>
                <w:color w:val="auto"/>
                <w:kern w:val="2"/>
                <w:sz w:val="21"/>
                <w:szCs w:val="24"/>
                <w:lang w:val="en-US" w:eastAsia="zh-CN" w:bidi="ar-SA"/>
              </w:rPr>
              <w:t>所在单位的省、市、区信息，</w:t>
            </w:r>
            <w:r>
              <w:rPr>
                <w:rFonts w:hint="eastAsia" w:cs="Times New Roman"/>
                <w:color w:val="auto"/>
                <w:kern w:val="2"/>
                <w:sz w:val="21"/>
                <w:szCs w:val="24"/>
                <w:lang w:val="en-US" w:eastAsia="zh-CN" w:bidi="ar-SA"/>
              </w:rPr>
              <w:t>并</w:t>
            </w:r>
            <w:r>
              <w:rPr>
                <w:rFonts w:hint="eastAsia" w:ascii="Times New Roman" w:hAnsi="Times New Roman" w:eastAsia="宋体" w:cs="Times New Roman"/>
                <w:color w:val="auto"/>
                <w:kern w:val="2"/>
                <w:sz w:val="21"/>
                <w:szCs w:val="24"/>
                <w:lang w:val="en-US" w:eastAsia="zh-CN" w:bidi="ar-SA"/>
              </w:rPr>
              <w:t>在各类表单作为其中的信息呈现和导出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8" w:hRule="atLeast"/>
        </w:trPr>
        <w:tc>
          <w:tcPr>
            <w:tcW w:w="442" w:type="pct"/>
            <w:vAlign w:val="center"/>
          </w:tcPr>
          <w:p>
            <w:pPr>
              <w:widowControl/>
              <w:jc w:val="center"/>
              <w:rPr>
                <w:rFonts w:hint="eastAsia" w:ascii="宋体" w:hAnsi="宋体" w:eastAsia="宋体" w:cs="宋体"/>
                <w:b w:val="0"/>
                <w:bCs/>
                <w:color w:val="auto"/>
                <w:szCs w:val="21"/>
                <w:lang w:eastAsia="zh-CN"/>
              </w:rPr>
            </w:pPr>
            <w:r>
              <w:rPr>
                <w:rFonts w:hint="eastAsia" w:ascii="宋体" w:hAnsi="宋体" w:cs="宋体"/>
                <w:b w:val="0"/>
                <w:bCs/>
                <w:color w:val="auto"/>
                <w:szCs w:val="21"/>
                <w:lang w:val="en-US" w:eastAsia="zh-CN"/>
              </w:rPr>
              <w:t>3</w:t>
            </w:r>
          </w:p>
        </w:tc>
        <w:tc>
          <w:tcPr>
            <w:tcW w:w="654" w:type="pct"/>
            <w:vAlign w:val="center"/>
          </w:tcPr>
          <w:p>
            <w:pPr>
              <w:pStyle w:val="2"/>
              <w:jc w:val="center"/>
              <w:rPr>
                <w:rFonts w:hint="eastAsia" w:ascii="宋体" w:hAnsi="宋体" w:eastAsia="宋体" w:cs="宋体"/>
                <w:b w:val="0"/>
                <w:bCs/>
                <w:color w:val="auto"/>
                <w:lang w:val="en-US" w:eastAsia="zh-CN"/>
              </w:rPr>
            </w:pPr>
            <w:r>
              <w:rPr>
                <w:rFonts w:hint="eastAsia" w:ascii="宋体" w:hAnsi="宋体" w:eastAsia="宋体" w:cs="宋体"/>
                <w:b w:val="0"/>
                <w:bCs/>
                <w:color w:val="auto"/>
              </w:rPr>
              <w:t>进修计划</w:t>
            </w:r>
          </w:p>
        </w:tc>
        <w:tc>
          <w:tcPr>
            <w:tcW w:w="3903" w:type="pct"/>
            <w:vAlign w:val="center"/>
          </w:tcPr>
          <w:p>
            <w:pPr>
              <w:keepNext w:val="0"/>
              <w:keepLines w:val="0"/>
              <w:widowControl/>
              <w:numPr>
                <w:ilvl w:val="0"/>
                <w:numId w:val="20"/>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支持管理员维护进修科目，对进修形式、进修期限、报到时间等进行自定义设置，创建进修计划开放给进修学员进行申请；</w:t>
            </w:r>
          </w:p>
          <w:p>
            <w:pPr>
              <w:keepNext w:val="0"/>
              <w:keepLines w:val="0"/>
              <w:widowControl/>
              <w:numPr>
                <w:ilvl w:val="0"/>
                <w:numId w:val="20"/>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支持管理员对需要专家水平测试的科室进行设置，支持通过分数线定义；</w:t>
            </w:r>
          </w:p>
          <w:p>
            <w:pPr>
              <w:keepNext w:val="0"/>
              <w:keepLines w:val="0"/>
              <w:widowControl/>
              <w:numPr>
                <w:ilvl w:val="0"/>
                <w:numId w:val="20"/>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支持设置开放招生申请的时间，招生申请时间内，进修人员可提交进修申请；</w:t>
            </w:r>
          </w:p>
          <w:p>
            <w:pPr>
              <w:keepNext w:val="0"/>
              <w:keepLines w:val="0"/>
              <w:widowControl/>
              <w:numPr>
                <w:ilvl w:val="0"/>
                <w:numId w:val="20"/>
              </w:numPr>
              <w:suppressLineNumbers w:val="0"/>
              <w:ind w:left="425" w:leftChars="0" w:hanging="425" w:firstLineChars="0"/>
              <w:jc w:val="left"/>
              <w:textAlignment w:val="center"/>
              <w:rPr>
                <w:rFonts w:hint="eastAsia" w:ascii="宋体" w:hAnsi="宋体" w:eastAsia="宋体" w:cs="宋体"/>
                <w:b w:val="0"/>
                <w:bCs/>
                <w:color w:val="auto"/>
              </w:rPr>
            </w:pPr>
            <w:r>
              <w:rPr>
                <w:rFonts w:hint="eastAsia" w:ascii="宋体" w:hAnsi="宋体" w:eastAsia="宋体" w:cs="宋体"/>
                <w:b w:val="0"/>
                <w:bCs/>
                <w:i w:val="0"/>
                <w:iCs w:val="0"/>
                <w:color w:val="auto"/>
                <w:kern w:val="0"/>
                <w:sz w:val="22"/>
                <w:szCs w:val="22"/>
                <w:u w:val="none"/>
                <w:lang w:val="en-US" w:eastAsia="zh-CN" w:bidi="ar"/>
              </w:rPr>
              <w:t>支持导入进修人员列表，支持excel导入。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3</w:t>
            </w:r>
          </w:p>
        </w:tc>
        <w:tc>
          <w:tcPr>
            <w:tcW w:w="654" w:type="pct"/>
            <w:vAlign w:val="center"/>
          </w:tcPr>
          <w:p>
            <w:pPr>
              <w:pStyle w:val="2"/>
              <w:jc w:val="center"/>
              <w:rPr>
                <w:rFonts w:hint="eastAsia" w:ascii="宋体" w:hAnsi="宋体" w:eastAsia="宋体" w:cs="宋体"/>
                <w:b w:val="0"/>
                <w:bCs/>
                <w:color w:val="auto"/>
                <w:szCs w:val="21"/>
                <w:lang w:eastAsia="zh-CN"/>
              </w:rPr>
            </w:pPr>
            <w:r>
              <w:rPr>
                <w:rFonts w:hint="eastAsia" w:ascii="宋体" w:hAnsi="宋体" w:eastAsia="宋体" w:cs="宋体"/>
                <w:b w:val="0"/>
                <w:bCs/>
                <w:color w:val="auto"/>
              </w:rPr>
              <w:t>进修申请和审批</w:t>
            </w:r>
          </w:p>
        </w:tc>
        <w:tc>
          <w:tcPr>
            <w:tcW w:w="3903" w:type="pct"/>
            <w:vAlign w:val="center"/>
          </w:tcPr>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支持进修人员按进修形式、进修期限、报到时间查看进修科目，并在进修开放时间内报名进修；</w:t>
            </w:r>
          </w:p>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支持进修人员按照进修科目查询进修计划；</w:t>
            </w:r>
          </w:p>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支持进修人员填写基本信息（选送单位、姓名、进修科目、进修形式、学习时间、进修目的）、个人资料和上传申报才来哦（进修申请表、医师资格证书、职称证书等）；</w:t>
            </w:r>
          </w:p>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支持管理员对学员的进修申请进行审批并填写审批意见，进修管理员和进修学员均可查看审批进度；</w:t>
            </w:r>
          </w:p>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支持申请审批流程自定义设置；</w:t>
            </w:r>
          </w:p>
          <w:p>
            <w:pPr>
              <w:keepNext w:val="0"/>
              <w:keepLines w:val="0"/>
              <w:widowControl/>
              <w:numPr>
                <w:ilvl w:val="0"/>
                <w:numId w:val="21"/>
              </w:numPr>
              <w:suppressLineNumbers w:val="0"/>
              <w:ind w:left="425" w:leftChars="0" w:hanging="425" w:firstLineChars="0"/>
              <w:jc w:val="left"/>
              <w:textAlignment w:val="center"/>
              <w:rPr>
                <w:rFonts w:hint="eastAsia" w:ascii="宋体" w:hAnsi="宋体" w:eastAsia="宋体" w:cs="宋体"/>
                <w:b w:val="0"/>
                <w:bCs/>
                <w:color w:val="auto"/>
              </w:rPr>
            </w:pPr>
            <w:r>
              <w:rPr>
                <w:rFonts w:hint="eastAsia" w:ascii="宋体" w:hAnsi="宋体" w:eastAsia="宋体" w:cs="宋体"/>
                <w:b w:val="0"/>
                <w:bCs/>
                <w:i w:val="0"/>
                <w:iCs w:val="0"/>
                <w:color w:val="auto"/>
                <w:kern w:val="0"/>
                <w:sz w:val="22"/>
                <w:szCs w:val="22"/>
                <w:u w:val="none"/>
                <w:lang w:val="en-US" w:eastAsia="zh-CN" w:bidi="ar"/>
              </w:rPr>
              <w:t>支持按照进修科目发送进修录取通知。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4</w:t>
            </w:r>
          </w:p>
        </w:tc>
        <w:tc>
          <w:tcPr>
            <w:tcW w:w="654" w:type="pct"/>
            <w:vAlign w:val="center"/>
          </w:tcPr>
          <w:p>
            <w:pPr>
              <w:pStyle w:val="2"/>
              <w:jc w:val="center"/>
              <w:rPr>
                <w:rFonts w:hint="eastAsia" w:ascii="宋体" w:hAnsi="宋体" w:eastAsia="宋体" w:cs="宋体"/>
                <w:b w:val="0"/>
                <w:bCs/>
                <w:color w:val="auto"/>
              </w:rPr>
            </w:pPr>
            <w:r>
              <w:rPr>
                <w:rFonts w:hint="eastAsia" w:ascii="宋体" w:hAnsi="宋体" w:eastAsia="宋体" w:cs="宋体"/>
                <w:b w:val="0"/>
                <w:bCs/>
                <w:color w:val="auto"/>
              </w:rPr>
              <w:t>进修报到</w:t>
            </w:r>
          </w:p>
          <w:p>
            <w:pPr>
              <w:pStyle w:val="2"/>
              <w:jc w:val="center"/>
              <w:rPr>
                <w:rFonts w:hint="eastAsia" w:ascii="宋体" w:hAnsi="宋体" w:eastAsia="宋体" w:cs="宋体"/>
                <w:b w:val="0"/>
                <w:bCs/>
                <w:color w:val="auto"/>
                <w:szCs w:val="21"/>
                <w:lang w:eastAsia="zh-CN"/>
              </w:rPr>
            </w:pPr>
          </w:p>
        </w:tc>
        <w:tc>
          <w:tcPr>
            <w:tcW w:w="3903" w:type="pct"/>
            <w:vAlign w:val="center"/>
          </w:tcPr>
          <w:p>
            <w:pPr>
              <w:keepNext w:val="0"/>
              <w:keepLines w:val="0"/>
              <w:widowControl/>
              <w:numPr>
                <w:ilvl w:val="0"/>
                <w:numId w:val="22"/>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管理员可上传进修报到须知相关资料，学员报到后可进行查看；</w:t>
            </w:r>
          </w:p>
          <w:p>
            <w:pPr>
              <w:keepNext w:val="0"/>
              <w:keepLines w:val="0"/>
              <w:widowControl/>
              <w:numPr>
                <w:ilvl w:val="0"/>
                <w:numId w:val="22"/>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管理员可展示/打印报到二维码，非动态二维码可长期使用，进修学员可扫描报到二维码进行进修报到；</w:t>
            </w:r>
          </w:p>
          <w:p>
            <w:pPr>
              <w:keepNext w:val="0"/>
              <w:keepLines w:val="0"/>
              <w:widowControl/>
              <w:numPr>
                <w:ilvl w:val="0"/>
                <w:numId w:val="22"/>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进修学员可查看进修承诺书，并签署同意；</w:t>
            </w:r>
          </w:p>
          <w:p>
            <w:pPr>
              <w:keepNext w:val="0"/>
              <w:keepLines w:val="0"/>
              <w:widowControl/>
              <w:numPr>
                <w:ilvl w:val="0"/>
                <w:numId w:val="22"/>
              </w:numPr>
              <w:suppressLineNumbers w:val="0"/>
              <w:ind w:left="425" w:leftChars="0" w:hanging="425" w:firstLineChars="0"/>
              <w:jc w:val="left"/>
              <w:textAlignment w:val="center"/>
              <w:rPr>
                <w:rFonts w:hint="eastAsia" w:ascii="宋体" w:hAnsi="宋体" w:eastAsia="宋体" w:cs="宋体"/>
                <w:b w:val="0"/>
                <w:bCs/>
                <w:color w:val="auto"/>
              </w:rPr>
            </w:pPr>
            <w:r>
              <w:rPr>
                <w:rFonts w:hint="eastAsia" w:ascii="宋体" w:hAnsi="宋体" w:eastAsia="宋体" w:cs="宋体"/>
                <w:b w:val="0"/>
                <w:bCs/>
                <w:i w:val="0"/>
                <w:iCs w:val="0"/>
                <w:color w:val="auto"/>
                <w:kern w:val="0"/>
                <w:sz w:val="22"/>
                <w:szCs w:val="22"/>
                <w:u w:val="none"/>
                <w:lang w:val="en-US" w:eastAsia="zh-CN" w:bidi="ar"/>
              </w:rPr>
              <w:t>支持查看进修报到进度，可从科室维度查看报到录取人数、待报到人数、已报到人数、已过期人数，支持查看具体名单，管理员可手动批量报到、批量删除等。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5</w:t>
            </w:r>
          </w:p>
        </w:tc>
        <w:tc>
          <w:tcPr>
            <w:tcW w:w="654" w:type="pct"/>
            <w:vAlign w:val="center"/>
          </w:tcPr>
          <w:p>
            <w:pPr>
              <w:pStyle w:val="2"/>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报审管理</w:t>
            </w:r>
          </w:p>
        </w:tc>
        <w:tc>
          <w:tcPr>
            <w:tcW w:w="3903" w:type="pct"/>
            <w:vAlign w:val="center"/>
          </w:tcPr>
          <w:p>
            <w:pPr>
              <w:keepNext w:val="0"/>
              <w:keepLines w:val="0"/>
              <w:widowControl/>
              <w:numPr>
                <w:ilvl w:val="0"/>
                <w:numId w:val="23"/>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提供报审流程设置功能，可创建、修改、查询流程。</w:t>
            </w:r>
          </w:p>
          <w:p>
            <w:pPr>
              <w:keepNext w:val="0"/>
              <w:keepLines w:val="0"/>
              <w:widowControl/>
              <w:numPr>
                <w:ilvl w:val="0"/>
                <w:numId w:val="23"/>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支持目前报审流程包括：请假、离穗、延迟报到、提前终止进修、延期进修、强制中断进修、离院。支持自定义，扩展报审流程。</w:t>
            </w:r>
          </w:p>
          <w:p>
            <w:pPr>
              <w:keepNext w:val="0"/>
              <w:keepLines w:val="0"/>
              <w:widowControl/>
              <w:numPr>
                <w:ilvl w:val="0"/>
                <w:numId w:val="23"/>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流程包括申请、分级审批、销假等环节处理，</w:t>
            </w:r>
          </w:p>
          <w:p>
            <w:pPr>
              <w:keepNext w:val="0"/>
              <w:keepLines w:val="0"/>
              <w:widowControl/>
              <w:numPr>
                <w:ilvl w:val="0"/>
                <w:numId w:val="23"/>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进修生端支持录入申请内容、上传资料，管理端提供以列表显示申请记录，查看详细申请内容，录入审批意见，支持批量操作，并提供查询统计功能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6</w:t>
            </w:r>
          </w:p>
        </w:tc>
        <w:tc>
          <w:tcPr>
            <w:tcW w:w="654" w:type="pct"/>
            <w:vAlign w:val="center"/>
          </w:tcPr>
          <w:p>
            <w:pPr>
              <w:pStyle w:val="2"/>
              <w:jc w:val="center"/>
              <w:rPr>
                <w:rFonts w:hint="eastAsia" w:ascii="宋体" w:hAnsi="宋体" w:eastAsia="宋体" w:cs="宋体"/>
                <w:b w:val="0"/>
                <w:bCs/>
                <w:color w:val="auto"/>
              </w:rPr>
            </w:pPr>
            <w:r>
              <w:rPr>
                <w:rFonts w:hint="eastAsia" w:ascii="宋体" w:hAnsi="宋体" w:eastAsia="宋体" w:cs="宋体"/>
                <w:b w:val="0"/>
                <w:bCs/>
                <w:color w:val="auto"/>
              </w:rPr>
              <w:t>培养考核</w:t>
            </w:r>
          </w:p>
          <w:p>
            <w:pPr>
              <w:pStyle w:val="2"/>
              <w:jc w:val="center"/>
              <w:rPr>
                <w:rFonts w:hint="eastAsia" w:ascii="宋体" w:hAnsi="宋体" w:eastAsia="宋体" w:cs="宋体"/>
                <w:b w:val="0"/>
                <w:bCs/>
                <w:color w:val="auto"/>
                <w:szCs w:val="21"/>
                <w:lang w:eastAsia="zh-CN"/>
              </w:rPr>
            </w:pPr>
          </w:p>
        </w:tc>
        <w:tc>
          <w:tcPr>
            <w:tcW w:w="3903" w:type="pct"/>
            <w:vAlign w:val="center"/>
          </w:tcPr>
          <w:p>
            <w:pPr>
              <w:keepNext w:val="0"/>
              <w:keepLines w:val="0"/>
              <w:widowControl/>
              <w:numPr>
                <w:ilvl w:val="0"/>
                <w:numId w:val="24"/>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支持科室主任和科室秘书为入科的进修学员安排进修计划、带教老师；</w:t>
            </w:r>
          </w:p>
          <w:p>
            <w:pPr>
              <w:keepNext w:val="0"/>
              <w:keepLines w:val="0"/>
              <w:widowControl/>
              <w:numPr>
                <w:ilvl w:val="0"/>
                <w:numId w:val="24"/>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支持学员登记进修手册（包括临床工作、对学科培训评估、个人小结、考勤等）；</w:t>
            </w:r>
          </w:p>
          <w:p>
            <w:pPr>
              <w:keepNext w:val="0"/>
              <w:keepLines w:val="0"/>
              <w:widowControl/>
              <w:numPr>
                <w:ilvl w:val="0"/>
                <w:numId w:val="24"/>
              </w:numPr>
              <w:suppressLineNumbers w:val="0"/>
              <w:ind w:left="425" w:leftChars="0" w:hanging="425" w:firstLineChars="0"/>
              <w:jc w:val="left"/>
              <w:textAlignment w:val="center"/>
              <w:rPr>
                <w:rFonts w:hint="eastAsia" w:ascii="宋体" w:hAnsi="宋体" w:eastAsia="宋体" w:cs="宋体"/>
                <w:b w:val="0"/>
                <w:bCs/>
                <w:i w:val="0"/>
                <w:iCs w:val="0"/>
                <w:color w:val="auto"/>
                <w:kern w:val="0"/>
                <w:sz w:val="22"/>
                <w:szCs w:val="22"/>
                <w:u w:val="none"/>
                <w:lang w:val="en-US" w:eastAsia="zh-CN" w:bidi="ar"/>
              </w:rPr>
            </w:pPr>
            <w:r>
              <w:rPr>
                <w:rFonts w:hint="eastAsia" w:ascii="宋体" w:hAnsi="宋体" w:eastAsia="宋体" w:cs="宋体"/>
                <w:b w:val="0"/>
                <w:bCs/>
                <w:i w:val="0"/>
                <w:iCs w:val="0"/>
                <w:color w:val="auto"/>
                <w:kern w:val="0"/>
                <w:sz w:val="22"/>
                <w:szCs w:val="22"/>
                <w:u w:val="none"/>
                <w:lang w:val="en-US" w:eastAsia="zh-CN" w:bidi="ar"/>
              </w:rPr>
              <w:t>支持带教老师对学员进修过程中各指标达成情况进行打分，并登记进修手册；科主任/科室秘书对结业的进修学员登记最终考评结论（优、良、合格、不合格）登记记录手册；</w:t>
            </w:r>
          </w:p>
          <w:p>
            <w:pPr>
              <w:keepNext w:val="0"/>
              <w:keepLines w:val="0"/>
              <w:widowControl/>
              <w:numPr>
                <w:ilvl w:val="0"/>
                <w:numId w:val="24"/>
              </w:numPr>
              <w:suppressLineNumbers w:val="0"/>
              <w:ind w:left="425" w:leftChars="0" w:hanging="425" w:firstLineChars="0"/>
              <w:jc w:val="left"/>
              <w:textAlignment w:val="center"/>
              <w:rPr>
                <w:rFonts w:hint="eastAsia" w:ascii="宋体" w:hAnsi="宋体" w:eastAsia="宋体" w:cs="宋体"/>
                <w:b w:val="0"/>
                <w:bCs/>
                <w:color w:val="auto"/>
              </w:rPr>
            </w:pPr>
            <w:bookmarkStart w:id="2" w:name="_GoBack"/>
            <w:bookmarkEnd w:id="2"/>
            <w:r>
              <w:rPr>
                <w:rFonts w:hint="eastAsia" w:ascii="宋体" w:hAnsi="宋体" w:eastAsia="宋体" w:cs="宋体"/>
                <w:b w:val="0"/>
                <w:bCs/>
                <w:i w:val="0"/>
                <w:iCs w:val="0"/>
                <w:color w:val="auto"/>
                <w:kern w:val="0"/>
                <w:sz w:val="22"/>
                <w:szCs w:val="22"/>
                <w:u w:val="none"/>
                <w:lang w:val="en-US" w:eastAsia="zh-CN" w:bidi="ar"/>
              </w:rPr>
              <w:t>支持管理员跟踪培养考核状态，查看进修人员的进修时间、科目、分配带教情况、考评结论等信息，支持查看每个进修人员的记录手册，导出进修学员相关数据。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7</w:t>
            </w:r>
          </w:p>
        </w:tc>
        <w:tc>
          <w:tcPr>
            <w:tcW w:w="654" w:type="pct"/>
            <w:vAlign w:val="center"/>
          </w:tcPr>
          <w:p>
            <w:pPr>
              <w:pStyle w:val="2"/>
              <w:jc w:val="center"/>
              <w:rPr>
                <w:rFonts w:hint="eastAsia" w:ascii="宋体" w:hAnsi="宋体" w:eastAsia="宋体" w:cs="宋体"/>
                <w:b w:val="0"/>
                <w:bCs/>
                <w:color w:val="auto"/>
              </w:rPr>
            </w:pPr>
            <w:r>
              <w:rPr>
                <w:rFonts w:hint="eastAsia" w:ascii="宋体" w:hAnsi="宋体" w:eastAsia="宋体" w:cs="宋体"/>
                <w:b w:val="0"/>
                <w:bCs/>
                <w:color w:val="auto"/>
              </w:rPr>
              <w:t>结业申请和审批</w:t>
            </w:r>
          </w:p>
          <w:p>
            <w:pPr>
              <w:pStyle w:val="2"/>
              <w:jc w:val="center"/>
              <w:rPr>
                <w:rFonts w:hint="eastAsia" w:ascii="宋体" w:hAnsi="宋体" w:eastAsia="宋体" w:cs="宋体"/>
                <w:b w:val="0"/>
                <w:bCs/>
                <w:color w:val="auto"/>
                <w:szCs w:val="21"/>
                <w:lang w:eastAsia="zh-CN"/>
              </w:rPr>
            </w:pPr>
          </w:p>
        </w:tc>
        <w:tc>
          <w:tcPr>
            <w:tcW w:w="3903" w:type="pct"/>
            <w:vAlign w:val="center"/>
          </w:tcPr>
          <w:p>
            <w:pPr>
              <w:keepNext w:val="0"/>
              <w:keepLines w:val="0"/>
              <w:widowControl/>
              <w:numPr>
                <w:ilvl w:val="0"/>
                <w:numId w:val="25"/>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支持进修学员在进修结束前提交进修结业申请，查看审批结果；审核通过后系统可自动发放电子结业证书，支持证书的查看和下载；</w:t>
            </w:r>
          </w:p>
          <w:p>
            <w:pPr>
              <w:keepNext w:val="0"/>
              <w:keepLines w:val="0"/>
              <w:widowControl/>
              <w:numPr>
                <w:ilvl w:val="0"/>
                <w:numId w:val="25"/>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支持进修学员发起进修延期或进修提前申请，管理员对学员发起的进修申请进行审批，审批进度和结果支持实时查看，审批情况支持导出；</w:t>
            </w:r>
          </w:p>
          <w:p>
            <w:pPr>
              <w:keepNext w:val="0"/>
              <w:keepLines w:val="0"/>
              <w:widowControl/>
              <w:numPr>
                <w:ilvl w:val="0"/>
                <w:numId w:val="25"/>
              </w:numPr>
              <w:suppressLineNumbers w:val="0"/>
              <w:ind w:left="425" w:leftChars="0" w:hanging="425" w:firstLineChars="0"/>
              <w:jc w:val="left"/>
              <w:textAlignment w:val="center"/>
              <w:rPr>
                <w:rFonts w:hint="eastAsia"/>
                <w:color w:val="auto"/>
              </w:rPr>
            </w:pPr>
            <w:r>
              <w:rPr>
                <w:rFonts w:hint="eastAsia"/>
                <w:color w:val="auto"/>
                <w:lang w:val="en-US" w:eastAsia="zh-CN"/>
              </w:rPr>
              <w:t>进修结业、提前结业、延期结业的审批流程支持自定义设置。</w:t>
            </w:r>
          </w:p>
          <w:p>
            <w:pPr>
              <w:keepNext w:val="0"/>
              <w:keepLines w:val="0"/>
              <w:widowControl/>
              <w:numPr>
                <w:ilvl w:val="0"/>
                <w:numId w:val="25"/>
              </w:numPr>
              <w:suppressLineNumbers w:val="0"/>
              <w:ind w:left="425" w:leftChars="0" w:hanging="425" w:firstLineChars="0"/>
              <w:jc w:val="left"/>
              <w:textAlignment w:val="center"/>
              <w:rPr>
                <w:rFonts w:hint="eastAsia"/>
                <w:color w:val="auto"/>
              </w:rPr>
            </w:pPr>
            <w:r>
              <w:rPr>
                <w:rFonts w:hint="eastAsia" w:ascii="宋体" w:hAnsi="宋体"/>
                <w:color w:val="auto"/>
                <w:sz w:val="24"/>
                <w:szCs w:val="24"/>
                <w:lang w:val="en-US" w:eastAsia="zh-CN"/>
              </w:rPr>
              <w:t>提供结业证</w:t>
            </w:r>
            <w:r>
              <w:rPr>
                <w:rFonts w:hint="eastAsia" w:ascii="宋体" w:hAnsi="宋体"/>
                <w:color w:val="auto"/>
                <w:sz w:val="24"/>
                <w:szCs w:val="24"/>
              </w:rPr>
              <w:t>下载</w:t>
            </w:r>
            <w:r>
              <w:rPr>
                <w:rFonts w:hint="eastAsia" w:ascii="宋体" w:hAnsi="宋体"/>
                <w:color w:val="auto"/>
                <w:sz w:val="24"/>
                <w:szCs w:val="24"/>
                <w:lang w:val="en-US" w:eastAsia="zh-CN"/>
              </w:rPr>
              <w:t>及打印功能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9" w:hRule="atLeast"/>
        </w:trPr>
        <w:tc>
          <w:tcPr>
            <w:tcW w:w="442" w:type="pct"/>
            <w:vAlign w:val="center"/>
          </w:tcPr>
          <w:p>
            <w:pPr>
              <w:widowControl/>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8</w:t>
            </w:r>
          </w:p>
        </w:tc>
        <w:tc>
          <w:tcPr>
            <w:tcW w:w="654" w:type="pct"/>
            <w:vAlign w:val="center"/>
          </w:tcPr>
          <w:p>
            <w:pPr>
              <w:keepNext w:val="0"/>
              <w:keepLines w:val="0"/>
              <w:widowControl/>
              <w:numPr>
                <w:ilvl w:val="0"/>
                <w:numId w:val="0"/>
              </w:numPr>
              <w:suppressLineNumbers w:val="0"/>
              <w:ind w:leftChars="0"/>
              <w:jc w:val="left"/>
              <w:textAlignment w:val="center"/>
              <w:rPr>
                <w:rFonts w:hint="default"/>
                <w:color w:val="auto"/>
                <w:lang w:val="en-US" w:eastAsia="zh-CN"/>
              </w:rPr>
            </w:pPr>
            <w:r>
              <w:rPr>
                <w:rFonts w:hint="eastAsia"/>
                <w:color w:val="auto"/>
                <w:lang w:val="en-US" w:eastAsia="zh-CN"/>
              </w:rPr>
              <w:t>进修生费用管理</w:t>
            </w:r>
          </w:p>
        </w:tc>
        <w:tc>
          <w:tcPr>
            <w:tcW w:w="3903" w:type="pct"/>
            <w:vAlign w:val="center"/>
          </w:tcPr>
          <w:p>
            <w:pPr>
              <w:keepNext w:val="0"/>
              <w:keepLines w:val="0"/>
              <w:widowControl/>
              <w:numPr>
                <w:ilvl w:val="0"/>
                <w:numId w:val="26"/>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对接财务系统，上传进修缴费单，获取已缴纳押金以及退付记录</w:t>
            </w:r>
          </w:p>
          <w:p>
            <w:pPr>
              <w:keepNext w:val="0"/>
              <w:keepLines w:val="0"/>
              <w:widowControl/>
              <w:numPr>
                <w:ilvl w:val="0"/>
                <w:numId w:val="26"/>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提供导入医联体医院及对口支援医院名单，能判断属于这些单位的进修生是无需缴纳进修费用，且能在系统生成的报到单上体现该信息</w:t>
            </w:r>
          </w:p>
          <w:p>
            <w:pPr>
              <w:keepNext w:val="0"/>
              <w:keepLines w:val="0"/>
              <w:widowControl/>
              <w:numPr>
                <w:ilvl w:val="0"/>
                <w:numId w:val="26"/>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押金管理：提供押金类型维护、已缴纳押金记录查询和导出</w:t>
            </w:r>
          </w:p>
          <w:p>
            <w:pPr>
              <w:keepNext w:val="0"/>
              <w:keepLines w:val="0"/>
              <w:widowControl/>
              <w:numPr>
                <w:ilvl w:val="0"/>
                <w:numId w:val="26"/>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进修费管理：提供已缴纳进修费用明细查询，可以通过缴费明细了解费用内容，包括缴费流水号,缴费渠道,缴费类型,缴费时间,进修生姓名,进修生账号,状态,商户订单号,商户号,商户名称,商户产品名称,对应银行,对应银行账户。</w:t>
            </w:r>
          </w:p>
          <w:p>
            <w:pPr>
              <w:keepNext w:val="0"/>
              <w:keepLines w:val="0"/>
              <w:widowControl/>
              <w:numPr>
                <w:ilvl w:val="0"/>
                <w:numId w:val="26"/>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费用对账：提供自动对账和手工对账，系统定时下载前一天的账单与缴费明细进行核对，生成核对结果。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eastAsia"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9</w:t>
            </w:r>
          </w:p>
        </w:tc>
        <w:tc>
          <w:tcPr>
            <w:tcW w:w="654" w:type="pct"/>
            <w:vAlign w:val="center"/>
          </w:tcPr>
          <w:p>
            <w:pPr>
              <w:pStyle w:val="2"/>
              <w:jc w:val="center"/>
              <w:rPr>
                <w:rFonts w:hint="eastAsia" w:ascii="宋体" w:hAnsi="宋体" w:eastAsia="宋体" w:cs="宋体"/>
                <w:b w:val="0"/>
                <w:bCs/>
                <w:color w:val="auto"/>
              </w:rPr>
            </w:pPr>
            <w:r>
              <w:rPr>
                <w:rFonts w:hint="eastAsia" w:ascii="宋体" w:hAnsi="宋体" w:eastAsia="宋体" w:cs="宋体"/>
                <w:b w:val="0"/>
                <w:bCs/>
                <w:color w:val="auto"/>
              </w:rPr>
              <w:t>进修统计</w:t>
            </w:r>
          </w:p>
          <w:p>
            <w:pPr>
              <w:pStyle w:val="2"/>
              <w:jc w:val="center"/>
              <w:rPr>
                <w:rFonts w:hint="eastAsia" w:ascii="宋体" w:hAnsi="宋体" w:eastAsia="宋体" w:cs="宋体"/>
                <w:b w:val="0"/>
                <w:bCs/>
                <w:color w:val="auto"/>
                <w:szCs w:val="21"/>
                <w:lang w:eastAsia="zh-CN"/>
              </w:rPr>
            </w:pPr>
          </w:p>
        </w:tc>
        <w:tc>
          <w:tcPr>
            <w:tcW w:w="3903" w:type="pct"/>
            <w:vAlign w:val="center"/>
          </w:tcPr>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支持进行年度进修统计，统计每年进修录取情况，展示每年录取趋势分析图、西部各地录取均值对比分析等；</w:t>
            </w:r>
          </w:p>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支持查看培训期限分布与录取明细、查看医院等级分布与录取明细、查看学历分布与录取明细、查看职称分布与录取明细，支持明细导出；</w:t>
            </w:r>
          </w:p>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支持采用饼状图按区域、职称、年龄段维度统计不同的招生来源</w:t>
            </w:r>
          </w:p>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支持采用柱状图按年份统计不同科目的招生人数</w:t>
            </w:r>
          </w:p>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支持采用折线图按年份统计不同科目的申请人数</w:t>
            </w:r>
          </w:p>
          <w:p>
            <w:pPr>
              <w:keepNext w:val="0"/>
              <w:keepLines w:val="0"/>
              <w:widowControl/>
              <w:numPr>
                <w:ilvl w:val="0"/>
                <w:numId w:val="27"/>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生成实时“在院进修生”，即“已经报到，且未离院”人员名单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10</w:t>
            </w:r>
          </w:p>
        </w:tc>
        <w:tc>
          <w:tcPr>
            <w:tcW w:w="654" w:type="pct"/>
            <w:vAlign w:val="center"/>
          </w:tcPr>
          <w:p>
            <w:pPr>
              <w:pStyle w:val="2"/>
              <w:jc w:val="center"/>
              <w:rPr>
                <w:rFonts w:hint="default" w:ascii="宋体" w:hAnsi="宋体" w:eastAsia="宋体" w:cs="宋体"/>
                <w:b w:val="0"/>
                <w:bCs/>
                <w:color w:val="auto"/>
                <w:szCs w:val="21"/>
                <w:lang w:val="en-US" w:eastAsia="zh-CN"/>
              </w:rPr>
            </w:pPr>
            <w:r>
              <w:rPr>
                <w:rFonts w:hint="eastAsia" w:ascii="宋体" w:hAnsi="宋体" w:cs="宋体"/>
                <w:b w:val="0"/>
                <w:bCs/>
                <w:color w:val="auto"/>
                <w:lang w:val="en-US" w:eastAsia="zh-CN"/>
              </w:rPr>
              <w:t>沟通管理</w:t>
            </w:r>
          </w:p>
        </w:tc>
        <w:tc>
          <w:tcPr>
            <w:tcW w:w="3903" w:type="pct"/>
            <w:vAlign w:val="center"/>
          </w:tcPr>
          <w:p>
            <w:pPr>
              <w:keepNext w:val="0"/>
              <w:keepLines w:val="0"/>
              <w:widowControl/>
              <w:numPr>
                <w:ilvl w:val="0"/>
                <w:numId w:val="28"/>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支持发布、修改、跟踪通知。汇总导出未收到通知的列表名单；</w:t>
            </w:r>
          </w:p>
          <w:p>
            <w:pPr>
              <w:keepNext w:val="0"/>
              <w:keepLines w:val="0"/>
              <w:widowControl/>
              <w:numPr>
                <w:ilvl w:val="0"/>
                <w:numId w:val="28"/>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具备自动根据进修计划发布对象来进行自动消息推送，提醒用户参与进修。</w:t>
            </w:r>
          </w:p>
          <w:p>
            <w:pPr>
              <w:keepNext w:val="0"/>
              <w:keepLines w:val="0"/>
              <w:widowControl/>
              <w:numPr>
                <w:ilvl w:val="0"/>
                <w:numId w:val="28"/>
              </w:numPr>
              <w:suppressLineNumbers w:val="0"/>
              <w:ind w:left="425" w:leftChars="0" w:hanging="425" w:firstLineChars="0"/>
              <w:jc w:val="left"/>
              <w:textAlignment w:val="center"/>
              <w:rPr>
                <w:rFonts w:hint="default"/>
                <w:color w:val="auto"/>
                <w:lang w:val="en-US" w:eastAsia="zh-CN"/>
              </w:rPr>
            </w:pPr>
            <w:r>
              <w:rPr>
                <w:rFonts w:hint="eastAsia"/>
                <w:color w:val="auto"/>
                <w:lang w:val="en-US" w:eastAsia="zh-CN"/>
              </w:rPr>
              <w:t>进修反馈管理：提供进修生建议提交及解答，并可</w:t>
            </w:r>
            <w:r>
              <w:rPr>
                <w:rFonts w:hint="eastAsia" w:ascii="宋体" w:hAnsi="宋体"/>
                <w:color w:val="auto"/>
                <w:sz w:val="24"/>
                <w:szCs w:val="24"/>
              </w:rPr>
              <w:t>查看所有建议</w:t>
            </w:r>
            <w:r>
              <w:rPr>
                <w:rFonts w:hint="eastAsia" w:ascii="宋体" w:hAnsi="宋体"/>
                <w:color w:val="auto"/>
                <w:sz w:val="24"/>
                <w:szCs w:val="24"/>
                <w:lang w:val="en-US" w:eastAsia="zh-CN"/>
              </w:rPr>
              <w:t>处理情况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 w:type="pct"/>
            <w:vAlign w:val="center"/>
          </w:tcPr>
          <w:p>
            <w:pPr>
              <w:widowControl/>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11</w:t>
            </w:r>
          </w:p>
        </w:tc>
        <w:tc>
          <w:tcPr>
            <w:tcW w:w="654" w:type="pct"/>
            <w:vAlign w:val="center"/>
          </w:tcPr>
          <w:p>
            <w:pPr>
              <w:pStyle w:val="2"/>
              <w:jc w:val="center"/>
              <w:rPr>
                <w:rFonts w:hint="default" w:ascii="宋体" w:hAnsi="宋体" w:cs="宋体"/>
                <w:b w:val="0"/>
                <w:bCs/>
                <w:color w:val="auto"/>
                <w:lang w:val="en-US" w:eastAsia="zh-CN"/>
              </w:rPr>
            </w:pPr>
            <w:r>
              <w:rPr>
                <w:rFonts w:hint="eastAsia" w:ascii="宋体" w:hAnsi="宋体" w:cs="宋体"/>
                <w:b w:val="0"/>
                <w:bCs/>
                <w:color w:val="auto"/>
                <w:lang w:val="en-US" w:eastAsia="zh-CN"/>
              </w:rPr>
              <w:t>系统设置</w:t>
            </w:r>
          </w:p>
        </w:tc>
        <w:tc>
          <w:tcPr>
            <w:tcW w:w="3903" w:type="pct"/>
            <w:vAlign w:val="center"/>
          </w:tcPr>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机构管理：</w:t>
            </w:r>
            <w:r>
              <w:rPr>
                <w:rFonts w:hint="eastAsia"/>
                <w:color w:val="auto"/>
              </w:rPr>
              <w:t>提供机构管理，为后续区分</w:t>
            </w:r>
            <w:r>
              <w:rPr>
                <w:rFonts w:hint="eastAsia"/>
                <w:color w:val="auto"/>
                <w:lang w:val="en-US" w:eastAsia="zh-CN"/>
              </w:rPr>
              <w:t>片区</w:t>
            </w:r>
            <w:r>
              <w:rPr>
                <w:rFonts w:hint="eastAsia"/>
                <w:color w:val="auto"/>
              </w:rPr>
              <w:t>不同的进修科目</w:t>
            </w:r>
          </w:p>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科目管理：科目指医院提供进修服务的类别。应可一次配置重复使用，实现全院进修科目的配置、含科目新建、科目修改、科目失效、科目模糊查询等操作。</w:t>
            </w:r>
          </w:p>
          <w:p>
            <w:pPr>
              <w:pStyle w:val="2"/>
              <w:numPr>
                <w:ilvl w:val="0"/>
                <w:numId w:val="29"/>
              </w:numPr>
              <w:ind w:left="425" w:leftChars="0" w:hanging="425" w:firstLineChars="0"/>
              <w:rPr>
                <w:rFonts w:hint="eastAsia"/>
                <w:color w:val="auto"/>
                <w:lang w:val="en-US" w:eastAsia="zh-CN"/>
              </w:rPr>
            </w:pPr>
            <w:r>
              <w:rPr>
                <w:rFonts w:hint="eastAsia"/>
                <w:color w:val="auto"/>
                <w:lang w:val="en-US" w:eastAsia="zh-CN"/>
              </w:rPr>
              <w:t>科目进修时间管理：通过查询有效科目，配置该科目的进修时间、进修费用，同时支持失效操作。</w:t>
            </w:r>
          </w:p>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进修批次管理：实现批次的新建，查询，修改和失效。批次信息需包含批次名称、开学时间、报名时间、录取确认时间、报道确认时间、打印录取通知书时间、招生人数、已报名人数、已录取人数。</w:t>
            </w:r>
          </w:p>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用户管理：提供管理端对已注册用户的查询、角色分配、密码重置功能。</w:t>
            </w:r>
          </w:p>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角色管理：可根据权限定义不同角色，按角色进行分配管理，提供创建、修改、查询等功能。</w:t>
            </w:r>
          </w:p>
          <w:p>
            <w:pPr>
              <w:pStyle w:val="2"/>
              <w:numPr>
                <w:ilvl w:val="0"/>
                <w:numId w:val="29"/>
              </w:numPr>
              <w:ind w:left="425" w:leftChars="0" w:hanging="425" w:firstLineChars="0"/>
              <w:rPr>
                <w:rFonts w:hint="default"/>
                <w:color w:val="auto"/>
                <w:lang w:val="en-US" w:eastAsia="zh-CN"/>
              </w:rPr>
            </w:pPr>
            <w:r>
              <w:rPr>
                <w:rFonts w:hint="eastAsia"/>
                <w:color w:val="auto"/>
                <w:lang w:val="en-US" w:eastAsia="zh-CN"/>
              </w:rPr>
              <w:t>菜单管理：提供对菜单名称及分类、排列进行维护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442" w:type="pct"/>
            <w:vAlign w:val="center"/>
          </w:tcPr>
          <w:p>
            <w:pPr>
              <w:widowControl/>
              <w:jc w:val="center"/>
              <w:rPr>
                <w:rFonts w:hint="default" w:ascii="宋体" w:hAnsi="宋体" w:eastAsia="宋体" w:cs="宋体"/>
                <w:b w:val="0"/>
                <w:bCs/>
                <w:color w:val="auto"/>
                <w:szCs w:val="21"/>
                <w:lang w:val="en-US" w:eastAsia="zh-CN"/>
              </w:rPr>
            </w:pPr>
            <w:r>
              <w:rPr>
                <w:rFonts w:hint="eastAsia" w:ascii="宋体" w:hAnsi="宋体" w:cs="宋体"/>
                <w:b w:val="0"/>
                <w:bCs/>
                <w:color w:val="auto"/>
                <w:szCs w:val="21"/>
                <w:lang w:val="en-US" w:eastAsia="zh-CN"/>
              </w:rPr>
              <w:t>12</w:t>
            </w:r>
          </w:p>
        </w:tc>
        <w:tc>
          <w:tcPr>
            <w:tcW w:w="654" w:type="pct"/>
            <w:vAlign w:val="center"/>
          </w:tcPr>
          <w:p>
            <w:pPr>
              <w:pStyle w:val="2"/>
              <w:jc w:val="center"/>
              <w:rPr>
                <w:rFonts w:hint="default" w:ascii="宋体" w:hAnsi="宋体" w:cs="宋体"/>
                <w:b w:val="0"/>
                <w:bCs/>
                <w:color w:val="auto"/>
                <w:lang w:val="en-US" w:eastAsia="zh-CN"/>
              </w:rPr>
            </w:pPr>
            <w:r>
              <w:rPr>
                <w:rFonts w:hint="eastAsia" w:ascii="宋体" w:hAnsi="宋体" w:cs="宋体"/>
                <w:b w:val="0"/>
                <w:bCs/>
                <w:color w:val="auto"/>
                <w:lang w:val="en-US" w:eastAsia="zh-CN"/>
              </w:rPr>
              <w:t>其它</w:t>
            </w:r>
          </w:p>
        </w:tc>
        <w:tc>
          <w:tcPr>
            <w:tcW w:w="3903" w:type="pct"/>
            <w:vAlign w:val="center"/>
          </w:tcPr>
          <w:p>
            <w:pPr>
              <w:keepNext w:val="0"/>
              <w:keepLines w:val="0"/>
              <w:widowControl/>
              <w:numPr>
                <w:ilvl w:val="0"/>
                <w:numId w:val="30"/>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区分进修生端、管理端系统功能，</w:t>
            </w:r>
          </w:p>
          <w:p>
            <w:pPr>
              <w:keepNext w:val="0"/>
              <w:keepLines w:val="0"/>
              <w:widowControl/>
              <w:numPr>
                <w:ilvl w:val="0"/>
                <w:numId w:val="30"/>
              </w:numPr>
              <w:suppressLineNumbers w:val="0"/>
              <w:ind w:left="425" w:leftChars="0" w:hanging="425" w:firstLineChars="0"/>
              <w:jc w:val="left"/>
              <w:textAlignment w:val="center"/>
              <w:rPr>
                <w:rFonts w:hint="eastAsia"/>
                <w:color w:val="auto"/>
                <w:lang w:val="en-US" w:eastAsia="zh-CN"/>
              </w:rPr>
            </w:pPr>
            <w:r>
              <w:rPr>
                <w:rFonts w:hint="eastAsia"/>
                <w:color w:val="auto"/>
                <w:lang w:val="en-US" w:eastAsia="zh-CN"/>
              </w:rPr>
              <w:t>支持手机端和PC端操作。</w:t>
            </w:r>
          </w:p>
          <w:p>
            <w:pPr>
              <w:pStyle w:val="2"/>
              <w:numPr>
                <w:ilvl w:val="0"/>
                <w:numId w:val="0"/>
              </w:numPr>
              <w:ind w:leftChars="0"/>
              <w:rPr>
                <w:rFonts w:hint="eastAsia"/>
                <w:color w:val="auto"/>
                <w:lang w:val="en-US" w:eastAsia="zh-CN"/>
              </w:rPr>
            </w:pPr>
          </w:p>
        </w:tc>
      </w:tr>
    </w:tbl>
    <w:p>
      <w:pPr>
        <w:pStyle w:val="3"/>
        <w:numPr>
          <w:ilvl w:val="0"/>
          <w:numId w:val="0"/>
        </w:numPr>
        <w:spacing w:before="0" w:after="0"/>
        <w:rPr>
          <w:rFonts w:hint="eastAsia" w:ascii="宋体" w:hAnsi="宋体" w:eastAsia="宋体" w:cs="宋体"/>
          <w:b w:val="0"/>
          <w:bCs/>
          <w:sz w:val="32"/>
          <w:szCs w:val="32"/>
          <w:lang w:val="en-US"/>
        </w:rPr>
      </w:pPr>
    </w:p>
    <w:p>
      <w:pPr>
        <w:pStyle w:val="3"/>
        <w:numPr>
          <w:ilvl w:val="0"/>
          <w:numId w:val="0"/>
        </w:numPr>
        <w:spacing w:before="0" w:after="0"/>
        <w:rPr>
          <w:rFonts w:hint="eastAsia" w:ascii="宋体" w:hAnsi="宋体" w:eastAsia="宋体" w:cs="宋体"/>
          <w:b w:val="0"/>
          <w:bCs/>
          <w:sz w:val="21"/>
          <w:szCs w:val="21"/>
        </w:rPr>
      </w:pPr>
      <w:r>
        <w:rPr>
          <w:rFonts w:hint="eastAsia" w:ascii="宋体" w:hAnsi="宋体" w:eastAsia="宋体" w:cs="宋体"/>
          <w:b w:val="0"/>
          <w:bCs/>
          <w:sz w:val="32"/>
          <w:szCs w:val="32"/>
          <w:lang w:val="en-US"/>
        </w:rPr>
        <w:t>四、</w:t>
      </w:r>
      <w:r>
        <w:rPr>
          <w:rFonts w:hint="eastAsia" w:ascii="宋体" w:hAnsi="宋体" w:eastAsia="宋体" w:cs="宋体"/>
          <w:b w:val="0"/>
          <w:bCs/>
          <w:sz w:val="32"/>
          <w:szCs w:val="32"/>
        </w:rPr>
        <w:t>项目工期</w:t>
      </w:r>
    </w:p>
    <w:p>
      <w:pPr>
        <w:numPr>
          <w:ilvl w:val="0"/>
          <w:numId w:val="31"/>
        </w:numPr>
        <w:tabs>
          <w:tab w:val="left" w:pos="420"/>
          <w:tab w:val="left" w:pos="780"/>
        </w:tabs>
        <w:spacing w:before="156" w:beforeLines="50" w:line="360" w:lineRule="auto"/>
        <w:outlineLvl w:val="0"/>
        <w:rPr>
          <w:rFonts w:hint="eastAsia" w:ascii="宋体" w:hAnsi="宋体" w:eastAsia="宋体" w:cs="宋体"/>
          <w:b w:val="0"/>
          <w:bCs/>
          <w:szCs w:val="21"/>
        </w:rPr>
      </w:pPr>
      <w:r>
        <w:rPr>
          <w:rFonts w:hint="eastAsia" w:ascii="宋体" w:hAnsi="宋体" w:eastAsia="宋体" w:cs="宋体"/>
          <w:b w:val="0"/>
          <w:bCs/>
          <w:szCs w:val="21"/>
        </w:rPr>
        <w:t>自合同签订日起，</w:t>
      </w:r>
      <w:r>
        <w:rPr>
          <w:rFonts w:hint="eastAsia" w:ascii="宋体" w:hAnsi="宋体" w:cs="宋体"/>
          <w:b w:val="0"/>
          <w:bCs/>
          <w:szCs w:val="21"/>
          <w:lang w:val="en-US" w:eastAsia="zh-CN"/>
        </w:rPr>
        <w:t>承建</w:t>
      </w:r>
      <w:r>
        <w:rPr>
          <w:rFonts w:hint="eastAsia" w:ascii="宋体" w:hAnsi="宋体" w:eastAsia="宋体" w:cs="宋体"/>
          <w:b w:val="0"/>
          <w:bCs/>
          <w:szCs w:val="21"/>
        </w:rPr>
        <w:t>须在</w:t>
      </w:r>
      <w:r>
        <w:rPr>
          <w:rFonts w:hint="eastAsia" w:ascii="宋体" w:hAnsi="宋体" w:cs="宋体"/>
          <w:b w:val="0"/>
          <w:bCs/>
          <w:szCs w:val="21"/>
          <w:u w:val="single"/>
          <w:lang w:val="en-US" w:eastAsia="zh-CN"/>
        </w:rPr>
        <w:t>10</w:t>
      </w:r>
      <w:r>
        <w:rPr>
          <w:rFonts w:hint="eastAsia" w:ascii="宋体" w:hAnsi="宋体" w:eastAsia="宋体" w:cs="宋体"/>
          <w:b w:val="0"/>
          <w:bCs/>
          <w:szCs w:val="21"/>
        </w:rPr>
        <w:t>个工作日内对《用户需求说明书》进行补充、确认或提出意见。</w:t>
      </w:r>
    </w:p>
    <w:p>
      <w:pPr>
        <w:numPr>
          <w:ilvl w:val="0"/>
          <w:numId w:val="31"/>
        </w:numPr>
        <w:tabs>
          <w:tab w:val="left" w:pos="780"/>
        </w:tabs>
        <w:spacing w:before="156" w:beforeLines="50" w:line="360" w:lineRule="auto"/>
        <w:outlineLvl w:val="0"/>
        <w:rPr>
          <w:rFonts w:hint="eastAsia" w:ascii="宋体" w:hAnsi="宋体" w:eastAsia="宋体" w:cs="宋体"/>
          <w:b w:val="0"/>
          <w:bCs/>
          <w:szCs w:val="21"/>
        </w:rPr>
      </w:pPr>
      <w:r>
        <w:rPr>
          <w:rFonts w:hint="eastAsia" w:ascii="宋体" w:hAnsi="宋体" w:eastAsia="宋体" w:cs="宋体"/>
          <w:b w:val="0"/>
          <w:bCs/>
          <w:szCs w:val="21"/>
        </w:rPr>
        <w:t>对《用户需求说明书》提出意见后，院方组织进行用户需求调研，根据调研情况提供业务调研记录、现况分析、功能设计及说明，双方共同整理并在</w:t>
      </w:r>
      <w:r>
        <w:rPr>
          <w:rFonts w:hint="eastAsia" w:ascii="宋体" w:hAnsi="宋体" w:cs="宋体"/>
          <w:b w:val="0"/>
          <w:bCs/>
          <w:szCs w:val="21"/>
          <w:u w:val="single"/>
          <w:lang w:val="en-US" w:eastAsia="zh-CN"/>
        </w:rPr>
        <w:t>30</w:t>
      </w:r>
      <w:r>
        <w:rPr>
          <w:rFonts w:hint="eastAsia" w:ascii="宋体" w:hAnsi="宋体" w:eastAsia="宋体" w:cs="宋体"/>
          <w:b w:val="0"/>
          <w:bCs/>
          <w:szCs w:val="21"/>
        </w:rPr>
        <w:t>个工作日内确认《需求规格说明书》。</w:t>
      </w:r>
    </w:p>
    <w:p>
      <w:pPr>
        <w:numPr>
          <w:ilvl w:val="0"/>
          <w:numId w:val="31"/>
        </w:numPr>
        <w:tabs>
          <w:tab w:val="left" w:pos="780"/>
        </w:tabs>
        <w:spacing w:before="156" w:beforeLines="50" w:line="360" w:lineRule="auto"/>
        <w:outlineLvl w:val="0"/>
        <w:rPr>
          <w:rFonts w:hint="eastAsia" w:ascii="宋体" w:hAnsi="宋体" w:eastAsia="宋体" w:cs="宋体"/>
          <w:b w:val="0"/>
          <w:bCs/>
          <w:szCs w:val="21"/>
        </w:rPr>
      </w:pPr>
      <w:r>
        <w:rPr>
          <w:rFonts w:hint="eastAsia" w:ascii="宋体" w:hAnsi="宋体" w:eastAsia="宋体" w:cs="宋体"/>
          <w:b w:val="0"/>
          <w:bCs/>
          <w:szCs w:val="21"/>
        </w:rPr>
        <w:t>须在《需求规格说明书》确认后的</w:t>
      </w:r>
      <w:r>
        <w:rPr>
          <w:rFonts w:hint="eastAsia" w:ascii="宋体" w:hAnsi="宋体" w:cs="宋体"/>
          <w:b w:val="0"/>
          <w:bCs/>
          <w:szCs w:val="21"/>
          <w:u w:val="single"/>
          <w:lang w:val="en-US" w:eastAsia="zh-CN"/>
        </w:rPr>
        <w:t>200</w:t>
      </w:r>
      <w:r>
        <w:rPr>
          <w:rFonts w:hint="eastAsia" w:ascii="宋体" w:hAnsi="宋体" w:eastAsia="宋体" w:cs="宋体"/>
          <w:b w:val="0"/>
          <w:bCs/>
          <w:szCs w:val="21"/>
        </w:rPr>
        <w:t>个工作日内完成</w:t>
      </w:r>
      <w:r>
        <w:rPr>
          <w:rFonts w:hint="eastAsia" w:ascii="宋体" w:hAnsi="宋体" w:cs="宋体"/>
          <w:b w:val="0"/>
          <w:bCs/>
          <w:szCs w:val="21"/>
          <w:lang w:val="en-US" w:eastAsia="zh-CN"/>
        </w:rPr>
        <w:t>开发和</w:t>
      </w:r>
      <w:r>
        <w:rPr>
          <w:rFonts w:hint="eastAsia" w:ascii="宋体" w:hAnsi="宋体" w:eastAsia="宋体" w:cs="宋体"/>
          <w:b w:val="0"/>
          <w:bCs/>
          <w:szCs w:val="21"/>
        </w:rPr>
        <w:t>实施</w:t>
      </w:r>
      <w:r>
        <w:rPr>
          <w:rFonts w:hint="eastAsia" w:ascii="宋体" w:hAnsi="宋体" w:cs="宋体"/>
          <w:b w:val="0"/>
          <w:bCs/>
          <w:szCs w:val="21"/>
          <w:lang w:eastAsia="zh-CN"/>
        </w:rPr>
        <w:t>，</w:t>
      </w:r>
      <w:r>
        <w:rPr>
          <w:rFonts w:hint="eastAsia" w:ascii="宋体" w:hAnsi="宋体" w:cs="宋体"/>
          <w:b w:val="0"/>
          <w:bCs/>
          <w:szCs w:val="21"/>
          <w:lang w:val="en-US" w:eastAsia="zh-CN"/>
        </w:rPr>
        <w:t>并</w:t>
      </w:r>
      <w:r>
        <w:rPr>
          <w:rFonts w:hint="eastAsia" w:ascii="宋体" w:hAnsi="宋体" w:eastAsia="宋体" w:cs="宋体"/>
          <w:b w:val="0"/>
          <w:bCs/>
          <w:szCs w:val="21"/>
        </w:rPr>
        <w:t>保证系统正常</w:t>
      </w:r>
      <w:r>
        <w:rPr>
          <w:rFonts w:hint="eastAsia" w:ascii="宋体" w:hAnsi="宋体" w:cs="宋体"/>
          <w:b w:val="0"/>
          <w:bCs/>
          <w:szCs w:val="21"/>
          <w:lang w:val="en-US" w:eastAsia="zh-CN"/>
        </w:rPr>
        <w:t>运作</w:t>
      </w:r>
      <w:r>
        <w:rPr>
          <w:rFonts w:hint="eastAsia" w:ascii="宋体" w:hAnsi="宋体" w:eastAsia="宋体" w:cs="宋体"/>
          <w:b w:val="0"/>
          <w:bCs/>
          <w:szCs w:val="21"/>
        </w:rPr>
        <w:t>。</w:t>
      </w:r>
    </w:p>
    <w:p>
      <w:pPr>
        <w:numPr>
          <w:ilvl w:val="0"/>
          <w:numId w:val="31"/>
        </w:numPr>
        <w:tabs>
          <w:tab w:val="left" w:pos="780"/>
        </w:tabs>
        <w:spacing w:before="156" w:beforeLines="50" w:line="360" w:lineRule="auto"/>
        <w:outlineLvl w:val="0"/>
        <w:rPr>
          <w:rFonts w:hint="eastAsia" w:ascii="宋体" w:hAnsi="宋体" w:eastAsia="宋体" w:cs="宋体"/>
          <w:b w:val="0"/>
          <w:bCs/>
          <w:szCs w:val="21"/>
        </w:rPr>
      </w:pPr>
      <w:r>
        <w:rPr>
          <w:rFonts w:hint="eastAsia" w:ascii="宋体" w:hAnsi="宋体" w:cs="宋体"/>
          <w:b w:val="0"/>
          <w:bCs/>
          <w:szCs w:val="21"/>
          <w:lang w:val="en-US" w:eastAsia="zh-CN"/>
        </w:rPr>
        <w:t>承建商</w:t>
      </w:r>
      <w:r>
        <w:rPr>
          <w:rFonts w:hint="eastAsia" w:ascii="宋体" w:hAnsi="宋体" w:eastAsia="宋体" w:cs="宋体"/>
          <w:b w:val="0"/>
          <w:bCs/>
          <w:szCs w:val="21"/>
        </w:rPr>
        <w:t>根据《需求规格说明书》完成</w:t>
      </w:r>
      <w:r>
        <w:rPr>
          <w:rFonts w:hint="eastAsia" w:ascii="宋体" w:hAnsi="宋体" w:cs="宋体"/>
          <w:b w:val="0"/>
          <w:bCs/>
          <w:szCs w:val="21"/>
          <w:lang w:val="en-US" w:eastAsia="zh-CN"/>
        </w:rPr>
        <w:t>开发及实施</w:t>
      </w:r>
      <w:r>
        <w:rPr>
          <w:rFonts w:hint="eastAsia" w:ascii="宋体" w:hAnsi="宋体" w:eastAsia="宋体" w:cs="宋体"/>
          <w:b w:val="0"/>
          <w:bCs/>
          <w:szCs w:val="21"/>
        </w:rPr>
        <w:t>，系统</w:t>
      </w:r>
      <w:r>
        <w:rPr>
          <w:rFonts w:hint="eastAsia" w:ascii="宋体" w:hAnsi="宋体" w:cs="宋体"/>
          <w:b w:val="0"/>
          <w:bCs/>
          <w:szCs w:val="21"/>
          <w:lang w:val="en-US" w:eastAsia="zh-CN"/>
        </w:rPr>
        <w:t>在生产环境正式</w:t>
      </w:r>
      <w:r>
        <w:rPr>
          <w:rFonts w:hint="eastAsia" w:ascii="宋体" w:hAnsi="宋体" w:eastAsia="宋体" w:cs="宋体"/>
          <w:b w:val="0"/>
          <w:bCs/>
          <w:szCs w:val="21"/>
        </w:rPr>
        <w:t>运行</w:t>
      </w:r>
      <w:r>
        <w:rPr>
          <w:rFonts w:hint="eastAsia" w:ascii="宋体" w:hAnsi="宋体" w:cs="宋体"/>
          <w:b w:val="0"/>
          <w:bCs/>
          <w:szCs w:val="21"/>
          <w:lang w:val="en-US" w:eastAsia="zh-CN"/>
        </w:rPr>
        <w:t>后</w:t>
      </w:r>
      <w:r>
        <w:rPr>
          <w:rFonts w:hint="eastAsia" w:ascii="宋体" w:hAnsi="宋体" w:cs="宋体"/>
          <w:b w:val="0"/>
          <w:bCs/>
          <w:szCs w:val="21"/>
          <w:lang w:eastAsia="zh-CN"/>
        </w:rPr>
        <w:t>，</w:t>
      </w:r>
      <w:r>
        <w:rPr>
          <w:rFonts w:hint="eastAsia" w:ascii="宋体" w:hAnsi="宋体" w:cs="宋体"/>
          <w:b w:val="0"/>
          <w:bCs/>
          <w:szCs w:val="21"/>
          <w:lang w:val="en-US" w:eastAsia="zh-CN"/>
        </w:rPr>
        <w:t>持续运作</w:t>
      </w:r>
      <w:r>
        <w:rPr>
          <w:rFonts w:hint="eastAsia" w:ascii="宋体" w:hAnsi="宋体" w:eastAsia="宋体" w:cs="宋体"/>
          <w:b w:val="0"/>
          <w:bCs/>
          <w:szCs w:val="21"/>
          <w:u w:val="single"/>
        </w:rPr>
        <w:t>1</w:t>
      </w:r>
      <w:r>
        <w:rPr>
          <w:rFonts w:hint="eastAsia" w:ascii="宋体" w:hAnsi="宋体" w:eastAsia="宋体" w:cs="宋体"/>
          <w:b w:val="0"/>
          <w:bCs/>
          <w:szCs w:val="21"/>
        </w:rPr>
        <w:t>个月以上</w:t>
      </w:r>
      <w:r>
        <w:rPr>
          <w:rFonts w:hint="eastAsia" w:ascii="宋体" w:hAnsi="宋体" w:cs="宋体"/>
          <w:b w:val="0"/>
          <w:bCs/>
          <w:szCs w:val="21"/>
          <w:lang w:val="en-US" w:eastAsia="zh-CN"/>
        </w:rPr>
        <w:t>并</w:t>
      </w:r>
      <w:r>
        <w:rPr>
          <w:rFonts w:hint="eastAsia" w:ascii="宋体" w:hAnsi="宋体" w:eastAsia="宋体" w:cs="宋体"/>
          <w:b w:val="0"/>
          <w:bCs/>
          <w:szCs w:val="21"/>
        </w:rPr>
        <w:t>无软件故障出现，则向院方申请验收。</w:t>
      </w:r>
    </w:p>
    <w:p>
      <w:pPr>
        <w:rPr>
          <w:rFonts w:hint="eastAsia" w:ascii="宋体" w:hAnsi="宋体" w:eastAsia="宋体" w:cs="宋体"/>
          <w:b w:val="0"/>
          <w:bCs/>
          <w:lang w:val="zh-CN"/>
        </w:rPr>
      </w:pPr>
    </w:p>
    <w:p>
      <w:pPr>
        <w:pStyle w:val="3"/>
        <w:numPr>
          <w:ilvl w:val="0"/>
          <w:numId w:val="0"/>
        </w:numPr>
        <w:spacing w:before="0" w:after="0"/>
        <w:rPr>
          <w:rFonts w:hint="eastAsia" w:ascii="宋体" w:hAnsi="宋体" w:eastAsia="宋体" w:cs="宋体"/>
          <w:b w:val="0"/>
          <w:bCs/>
          <w:color w:val="FF0000"/>
          <w:sz w:val="32"/>
          <w:szCs w:val="32"/>
        </w:rPr>
      </w:pPr>
      <w:r>
        <w:rPr>
          <w:rFonts w:hint="eastAsia" w:ascii="宋体" w:hAnsi="宋体" w:eastAsia="宋体" w:cs="宋体"/>
          <w:b w:val="0"/>
          <w:bCs/>
          <w:sz w:val="32"/>
          <w:szCs w:val="32"/>
          <w:lang w:val="en-US"/>
        </w:rPr>
        <w:t>五、</w:t>
      </w:r>
      <w:r>
        <w:rPr>
          <w:rFonts w:hint="eastAsia" w:ascii="宋体" w:hAnsi="宋体" w:eastAsia="宋体" w:cs="宋体"/>
          <w:b w:val="0"/>
          <w:bCs/>
          <w:sz w:val="32"/>
          <w:szCs w:val="32"/>
        </w:rPr>
        <w:t>集成技术及实施服务要求</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项目实施期内承建商提供专职工程师</w:t>
      </w:r>
      <w:r>
        <w:rPr>
          <w:rFonts w:hint="eastAsia" w:ascii="宋体" w:hAnsi="宋体" w:cs="宋体"/>
          <w:b w:val="0"/>
          <w:bCs/>
          <w:szCs w:val="21"/>
          <w:lang w:val="en-US" w:eastAsia="zh-CN"/>
        </w:rPr>
        <w:t>至少</w:t>
      </w:r>
      <w:r>
        <w:rPr>
          <w:rFonts w:hint="eastAsia" w:ascii="宋体" w:hAnsi="宋体" w:eastAsia="宋体" w:cs="宋体"/>
          <w:b w:val="0"/>
          <w:bCs/>
          <w:szCs w:val="21"/>
          <w:u w:val="single"/>
        </w:rPr>
        <w:t xml:space="preserve"> </w:t>
      </w:r>
      <w:r>
        <w:rPr>
          <w:rFonts w:hint="eastAsia" w:ascii="宋体" w:hAnsi="宋体" w:eastAsia="宋体" w:cs="宋体"/>
          <w:b w:val="0"/>
          <w:bCs/>
          <w:szCs w:val="21"/>
          <w:u w:val="single"/>
          <w:lang w:val="en-US" w:eastAsia="zh-CN"/>
        </w:rPr>
        <w:t>1</w:t>
      </w:r>
      <w:r>
        <w:rPr>
          <w:rFonts w:hint="eastAsia" w:ascii="宋体" w:hAnsi="宋体" w:eastAsia="宋体" w:cs="宋体"/>
          <w:b w:val="0"/>
          <w:bCs/>
          <w:szCs w:val="21"/>
          <w:u w:val="single"/>
        </w:rPr>
        <w:t xml:space="preserve"> </w:t>
      </w:r>
      <w:r>
        <w:rPr>
          <w:rFonts w:hint="eastAsia" w:ascii="宋体" w:hAnsi="宋体" w:eastAsia="宋体" w:cs="宋体"/>
          <w:b w:val="0"/>
          <w:bCs/>
          <w:szCs w:val="21"/>
        </w:rPr>
        <w:t>名驻扎本院，工作时间与院方工作时间一致，并且提供7*24小时响应服务。</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项目承建商需根据院方的详细需求，提交项目系统的安装、调试及培训实施方案，方案得到院方确认后实施，保证系统按时、正常地投入运行。</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tabs>
          <w:tab w:val="left" w:pos="780"/>
        </w:tabs>
        <w:spacing w:before="156" w:beforeLines="50" w:line="360" w:lineRule="auto"/>
        <w:ind w:firstLine="420" w:firstLineChars="200"/>
        <w:outlineLvl w:val="0"/>
        <w:rPr>
          <w:rFonts w:hint="eastAsia" w:ascii="宋体" w:hAnsi="宋体" w:eastAsia="宋体" w:cs="宋体"/>
          <w:b w:val="0"/>
          <w:bCs/>
        </w:rPr>
      </w:pPr>
      <w:r>
        <w:rPr>
          <w:rFonts w:hint="eastAsia" w:ascii="宋体" w:hAnsi="宋体" w:eastAsia="宋体" w:cs="宋体"/>
          <w:b w:val="0"/>
          <w:bCs/>
          <w:szCs w:val="21"/>
        </w:rPr>
        <w:t>验收由承建商给出具体的验收计划、测试的内容和方法，经院方审核通过后，方可进行验收测试。</w:t>
      </w:r>
    </w:p>
    <w:p>
      <w:pPr>
        <w:pStyle w:val="3"/>
        <w:numPr>
          <w:ilvl w:val="0"/>
          <w:numId w:val="0"/>
        </w:numPr>
        <w:spacing w:before="0" w:after="0"/>
        <w:rPr>
          <w:rFonts w:hint="eastAsia" w:ascii="宋体" w:hAnsi="宋体" w:eastAsia="宋体" w:cs="宋体"/>
          <w:b w:val="0"/>
          <w:bCs/>
          <w:color w:val="FF0000"/>
          <w:sz w:val="32"/>
          <w:szCs w:val="32"/>
        </w:rPr>
      </w:pPr>
      <w:r>
        <w:rPr>
          <w:rFonts w:hint="eastAsia" w:ascii="宋体" w:hAnsi="宋体" w:eastAsia="宋体" w:cs="宋体"/>
          <w:b w:val="0"/>
          <w:bCs/>
          <w:sz w:val="32"/>
          <w:szCs w:val="32"/>
          <w:lang w:val="en-US"/>
        </w:rPr>
        <w:t>六、</w:t>
      </w:r>
      <w:r>
        <w:rPr>
          <w:rFonts w:hint="eastAsia" w:ascii="宋体" w:hAnsi="宋体" w:eastAsia="宋体" w:cs="宋体"/>
          <w:b w:val="0"/>
          <w:bCs/>
          <w:sz w:val="32"/>
          <w:szCs w:val="32"/>
        </w:rPr>
        <w:t>后续维护服务</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软件维保期从合同标的验收合格之日算起，期限为</w:t>
      </w:r>
      <w:r>
        <w:rPr>
          <w:rFonts w:hint="eastAsia" w:ascii="宋体" w:hAnsi="宋体" w:eastAsia="宋体" w:cs="宋体"/>
          <w:b w:val="0"/>
          <w:bCs/>
          <w:szCs w:val="21"/>
          <w:u w:val="single"/>
        </w:rPr>
        <w:t xml:space="preserve"> </w:t>
      </w:r>
      <w:r>
        <w:rPr>
          <w:rFonts w:hint="eastAsia" w:ascii="宋体" w:hAnsi="宋体" w:eastAsia="宋体" w:cs="宋体"/>
          <w:b w:val="0"/>
          <w:bCs/>
          <w:szCs w:val="21"/>
          <w:u w:val="single"/>
          <w:lang w:val="en-US" w:eastAsia="zh-CN"/>
        </w:rPr>
        <w:t>24</w:t>
      </w:r>
      <w:r>
        <w:rPr>
          <w:rFonts w:hint="eastAsia" w:ascii="宋体" w:hAnsi="宋体" w:eastAsia="宋体" w:cs="宋体"/>
          <w:b w:val="0"/>
          <w:bCs/>
          <w:szCs w:val="21"/>
        </w:rPr>
        <w:t>个月。在维保期内，承建商提供技术支持和指导，以及软件的局部改进完善以及故障情况下的现场问题解决。</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提供7x24售后服务热线，派遣专业的技术支持工程师针对本项目提供服务。发生故障时在接到</w:t>
      </w:r>
      <w:r>
        <w:rPr>
          <w:rFonts w:hint="eastAsia" w:ascii="宋体" w:hAnsi="宋体" w:cs="宋体"/>
          <w:b w:val="0"/>
          <w:bCs/>
          <w:szCs w:val="21"/>
          <w:lang w:val="en-US" w:eastAsia="zh-CN"/>
        </w:rPr>
        <w:t>院方</w:t>
      </w:r>
      <w:r>
        <w:rPr>
          <w:rFonts w:hint="eastAsia" w:ascii="宋体" w:hAnsi="宋体" w:eastAsia="宋体" w:cs="宋体"/>
          <w:b w:val="0"/>
          <w:bCs/>
          <w:szCs w:val="21"/>
        </w:rPr>
        <w:t>维修通知后5分钟内响应，2小时内故障排除。若有紧急情况需要到现场服务的，12小时内到达现场。</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维保期内承建商为院方提供维护及服务的部门及固定的专职技术人员。承建商提供专职工程师</w:t>
      </w:r>
      <w:r>
        <w:rPr>
          <w:rFonts w:hint="eastAsia" w:ascii="宋体" w:hAnsi="宋体" w:eastAsia="宋体" w:cs="宋体"/>
          <w:b w:val="0"/>
          <w:bCs/>
          <w:szCs w:val="21"/>
          <w:u w:val="single"/>
        </w:rPr>
        <w:t xml:space="preserve">   </w:t>
      </w:r>
      <w:r>
        <w:rPr>
          <w:rFonts w:hint="eastAsia" w:ascii="宋体" w:hAnsi="宋体" w:eastAsia="宋体" w:cs="宋体"/>
          <w:b w:val="0"/>
          <w:bCs/>
          <w:szCs w:val="21"/>
          <w:u w:val="single"/>
          <w:lang w:val="en-US" w:eastAsia="zh-CN"/>
        </w:rPr>
        <w:t>1</w:t>
      </w:r>
      <w:r>
        <w:rPr>
          <w:rFonts w:hint="eastAsia" w:ascii="宋体" w:hAnsi="宋体" w:eastAsia="宋体" w:cs="宋体"/>
          <w:b w:val="0"/>
          <w:bCs/>
          <w:szCs w:val="21"/>
        </w:rPr>
        <w:t>名</w:t>
      </w:r>
      <w:r>
        <w:rPr>
          <w:rFonts w:hint="eastAsia" w:ascii="宋体" w:hAnsi="宋体" w:cs="宋体"/>
          <w:b w:val="0"/>
          <w:bCs/>
          <w:szCs w:val="21"/>
          <w:lang w:val="en-US" w:eastAsia="zh-CN"/>
        </w:rPr>
        <w:t>随时响应院方需求</w:t>
      </w:r>
      <w:r>
        <w:rPr>
          <w:rFonts w:hint="eastAsia" w:ascii="宋体" w:hAnsi="宋体" w:eastAsia="宋体" w:cs="宋体"/>
          <w:b w:val="0"/>
          <w:bCs/>
          <w:szCs w:val="21"/>
        </w:rPr>
        <w:t>，工作时间与院方工作时间一致，并且提供7*24小时响应服务。</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在维保期结束前，须由 承建商和院方进行一次全面检查，任何缺陷必须由承建商负责修复，在修复之后，承建商应将缺陷原因、修复内容、完成修理及恢复正常的时间和日期等报告给院方，形成项目总结报告。</w:t>
      </w:r>
    </w:p>
    <w:p>
      <w:pPr>
        <w:tabs>
          <w:tab w:val="left" w:pos="780"/>
        </w:tabs>
        <w:spacing w:before="156" w:beforeLines="50" w:line="360" w:lineRule="auto"/>
        <w:ind w:firstLine="420" w:firstLineChars="200"/>
        <w:outlineLvl w:val="0"/>
        <w:rPr>
          <w:rFonts w:hint="eastAsia" w:ascii="宋体" w:hAnsi="宋体" w:eastAsia="宋体" w:cs="宋体"/>
          <w:b w:val="0"/>
          <w:bCs/>
          <w:szCs w:val="21"/>
        </w:rPr>
      </w:pPr>
      <w:r>
        <w:rPr>
          <w:rFonts w:hint="eastAsia" w:ascii="宋体" w:hAnsi="宋体" w:eastAsia="宋体" w:cs="宋体"/>
          <w:b w:val="0"/>
          <w:bCs/>
          <w:szCs w:val="21"/>
        </w:rPr>
        <w:t>超过维保期的，双方另行协商签订维护合同，服务方报价不超过合同软件部分金额的7%。</w:t>
      </w:r>
    </w:p>
    <w:p>
      <w:pPr>
        <w:pStyle w:val="3"/>
        <w:numPr>
          <w:ilvl w:val="0"/>
          <w:numId w:val="32"/>
        </w:numPr>
        <w:spacing w:before="0" w:after="0"/>
        <w:rPr>
          <w:rFonts w:hint="eastAsia" w:ascii="宋体" w:hAnsi="宋体" w:eastAsia="宋体" w:cs="宋体"/>
          <w:b w:val="0"/>
          <w:bCs/>
          <w:color w:val="FF0000"/>
          <w:sz w:val="32"/>
          <w:szCs w:val="32"/>
          <w:lang w:val="en-US"/>
        </w:rPr>
      </w:pPr>
      <w:r>
        <w:rPr>
          <w:rFonts w:hint="eastAsia" w:ascii="宋体" w:hAnsi="宋体" w:eastAsia="宋体" w:cs="宋体"/>
          <w:b w:val="0"/>
          <w:bCs/>
          <w:sz w:val="32"/>
          <w:szCs w:val="32"/>
        </w:rPr>
        <w:t>合同款支付方式</w:t>
      </w:r>
    </w:p>
    <w:p>
      <w:pPr>
        <w:spacing w:line="360" w:lineRule="auto"/>
        <w:ind w:firstLine="630" w:firstLineChars="300"/>
        <w:rPr>
          <w:rFonts w:hint="eastAsia" w:ascii="宋体" w:hAnsi="宋体" w:eastAsia="宋体" w:cs="宋体"/>
          <w:b w:val="0"/>
          <w:bCs/>
          <w:szCs w:val="21"/>
        </w:rPr>
      </w:pPr>
      <w:r>
        <w:rPr>
          <w:rFonts w:hint="eastAsia" w:ascii="宋体" w:hAnsi="宋体" w:eastAsia="宋体" w:cs="宋体"/>
          <w:b w:val="0"/>
          <w:bCs/>
          <w:szCs w:val="21"/>
        </w:rPr>
        <w:t>(一)合同签订后，在收到承建商开具相应金额正式发票后，支付合同总金额的30%。</w:t>
      </w:r>
    </w:p>
    <w:p>
      <w:pPr>
        <w:spacing w:line="360" w:lineRule="auto"/>
        <w:ind w:firstLine="630" w:firstLineChars="300"/>
        <w:rPr>
          <w:rFonts w:hint="eastAsia" w:ascii="宋体" w:hAnsi="宋体" w:eastAsia="宋体" w:cs="宋体"/>
          <w:b w:val="0"/>
          <w:bCs/>
          <w:szCs w:val="21"/>
        </w:rPr>
      </w:pPr>
      <w:r>
        <w:rPr>
          <w:rFonts w:hint="eastAsia" w:ascii="宋体" w:hAnsi="宋体" w:eastAsia="宋体" w:cs="宋体"/>
          <w:b w:val="0"/>
          <w:bCs/>
          <w:szCs w:val="21"/>
        </w:rPr>
        <w:t>(二)软件验收通过后，在收到承建商开具相应金额正式发票后，支付合同总金额的65%。</w:t>
      </w:r>
    </w:p>
    <w:p>
      <w:pPr>
        <w:spacing w:line="360" w:lineRule="auto"/>
        <w:ind w:firstLine="630" w:firstLineChars="300"/>
        <w:rPr>
          <w:rFonts w:hint="eastAsia" w:ascii="宋体" w:hAnsi="宋体" w:eastAsia="宋体" w:cs="宋体"/>
          <w:b w:val="0"/>
          <w:bCs/>
          <w:szCs w:val="21"/>
        </w:rPr>
      </w:pPr>
      <w:r>
        <w:rPr>
          <w:rFonts w:hint="eastAsia" w:ascii="宋体" w:hAnsi="宋体" w:eastAsia="宋体" w:cs="宋体"/>
          <w:b w:val="0"/>
          <w:bCs/>
          <w:szCs w:val="21"/>
        </w:rPr>
        <w:t>(三)维保期结束后，由院方对承建商在服务期内应完成任务进行确认并通过后1个月内，支付最后一笔尾款。</w:t>
      </w:r>
    </w:p>
    <w:p>
      <w:pPr>
        <w:pStyle w:val="2"/>
        <w:rPr>
          <w:rFonts w:hint="eastAsia" w:ascii="宋体" w:hAnsi="宋体" w:eastAsia="宋体" w:cs="宋体"/>
          <w:b w:val="0"/>
          <w:bCs/>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w:t>
    </w:r>
    <w:r>
      <w:rPr>
        <w:caps/>
        <w:color w:val="5B9BD5"/>
      </w:rPr>
      <w:fldChar w:fldCharType="end"/>
    </w:r>
  </w:p>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E5FD45"/>
    <w:multiLevelType w:val="singleLevel"/>
    <w:tmpl w:val="81E5FD45"/>
    <w:lvl w:ilvl="0" w:tentative="0">
      <w:start w:val="1"/>
      <w:numFmt w:val="decimal"/>
      <w:lvlText w:val="%1."/>
      <w:lvlJc w:val="left"/>
      <w:pPr>
        <w:ind w:left="425" w:hanging="425"/>
      </w:pPr>
      <w:rPr>
        <w:rFonts w:hint="default"/>
      </w:rPr>
    </w:lvl>
  </w:abstractNum>
  <w:abstractNum w:abstractNumId="1">
    <w:nsid w:val="8C512473"/>
    <w:multiLevelType w:val="singleLevel"/>
    <w:tmpl w:val="8C512473"/>
    <w:lvl w:ilvl="0" w:tentative="0">
      <w:start w:val="1"/>
      <w:numFmt w:val="decimal"/>
      <w:lvlText w:val="%1."/>
      <w:lvlJc w:val="left"/>
      <w:pPr>
        <w:ind w:left="425" w:hanging="425"/>
      </w:pPr>
      <w:rPr>
        <w:rFonts w:hint="default"/>
      </w:rPr>
    </w:lvl>
  </w:abstractNum>
  <w:abstractNum w:abstractNumId="2">
    <w:nsid w:val="A15204A2"/>
    <w:multiLevelType w:val="singleLevel"/>
    <w:tmpl w:val="A15204A2"/>
    <w:lvl w:ilvl="0" w:tentative="0">
      <w:start w:val="1"/>
      <w:numFmt w:val="decimal"/>
      <w:lvlText w:val="%1."/>
      <w:lvlJc w:val="left"/>
      <w:pPr>
        <w:ind w:left="425" w:hanging="425"/>
      </w:pPr>
      <w:rPr>
        <w:rFonts w:hint="default"/>
      </w:rPr>
    </w:lvl>
  </w:abstractNum>
  <w:abstractNum w:abstractNumId="3">
    <w:nsid w:val="AF18D44B"/>
    <w:multiLevelType w:val="singleLevel"/>
    <w:tmpl w:val="AF18D44B"/>
    <w:lvl w:ilvl="0" w:tentative="0">
      <w:start w:val="1"/>
      <w:numFmt w:val="decimal"/>
      <w:lvlText w:val="%1."/>
      <w:lvlJc w:val="left"/>
      <w:pPr>
        <w:ind w:left="425" w:hanging="425"/>
      </w:pPr>
      <w:rPr>
        <w:rFonts w:hint="default"/>
      </w:rPr>
    </w:lvl>
  </w:abstractNum>
  <w:abstractNum w:abstractNumId="4">
    <w:nsid w:val="CBE8796B"/>
    <w:multiLevelType w:val="singleLevel"/>
    <w:tmpl w:val="CBE8796B"/>
    <w:lvl w:ilvl="0" w:tentative="0">
      <w:start w:val="1"/>
      <w:numFmt w:val="decimal"/>
      <w:lvlText w:val="%1."/>
      <w:lvlJc w:val="left"/>
      <w:pPr>
        <w:ind w:left="425" w:hanging="425"/>
      </w:pPr>
      <w:rPr>
        <w:rFonts w:hint="default"/>
      </w:rPr>
    </w:lvl>
  </w:abstractNum>
  <w:abstractNum w:abstractNumId="5">
    <w:nsid w:val="DD169EE7"/>
    <w:multiLevelType w:val="singleLevel"/>
    <w:tmpl w:val="DD169EE7"/>
    <w:lvl w:ilvl="0" w:tentative="0">
      <w:start w:val="1"/>
      <w:numFmt w:val="decimal"/>
      <w:lvlText w:val="%1."/>
      <w:lvlJc w:val="left"/>
      <w:pPr>
        <w:ind w:left="425" w:hanging="425"/>
      </w:pPr>
      <w:rPr>
        <w:rFonts w:hint="default"/>
      </w:rPr>
    </w:lvl>
  </w:abstractNum>
  <w:abstractNum w:abstractNumId="6">
    <w:nsid w:val="E29503C9"/>
    <w:multiLevelType w:val="singleLevel"/>
    <w:tmpl w:val="E29503C9"/>
    <w:lvl w:ilvl="0" w:tentative="0">
      <w:start w:val="1"/>
      <w:numFmt w:val="decimal"/>
      <w:lvlText w:val="%1."/>
      <w:lvlJc w:val="left"/>
      <w:pPr>
        <w:ind w:left="425" w:hanging="425"/>
      </w:pPr>
      <w:rPr>
        <w:rFonts w:hint="default"/>
      </w:rPr>
    </w:lvl>
  </w:abstractNum>
  <w:abstractNum w:abstractNumId="7">
    <w:nsid w:val="ECFCBD4F"/>
    <w:multiLevelType w:val="singleLevel"/>
    <w:tmpl w:val="ECFCBD4F"/>
    <w:lvl w:ilvl="0" w:tentative="0">
      <w:start w:val="1"/>
      <w:numFmt w:val="decimal"/>
      <w:lvlText w:val="%1."/>
      <w:lvlJc w:val="left"/>
      <w:pPr>
        <w:ind w:left="425" w:hanging="425"/>
      </w:pPr>
      <w:rPr>
        <w:rFonts w:hint="default"/>
      </w:rPr>
    </w:lvl>
  </w:abstractNum>
  <w:abstractNum w:abstractNumId="8">
    <w:nsid w:val="F036C785"/>
    <w:multiLevelType w:val="singleLevel"/>
    <w:tmpl w:val="F036C785"/>
    <w:lvl w:ilvl="0" w:tentative="0">
      <w:start w:val="1"/>
      <w:numFmt w:val="decimal"/>
      <w:lvlText w:val="%1."/>
      <w:lvlJc w:val="left"/>
      <w:pPr>
        <w:ind w:left="425" w:hanging="425"/>
      </w:pPr>
      <w:rPr>
        <w:rFonts w:hint="default"/>
      </w:rPr>
    </w:lvl>
  </w:abstractNum>
  <w:abstractNum w:abstractNumId="9">
    <w:nsid w:val="F21FC6FA"/>
    <w:multiLevelType w:val="singleLevel"/>
    <w:tmpl w:val="F21FC6FA"/>
    <w:lvl w:ilvl="0" w:tentative="0">
      <w:start w:val="1"/>
      <w:numFmt w:val="decimal"/>
      <w:lvlText w:val="%1)"/>
      <w:lvlJc w:val="left"/>
      <w:pPr>
        <w:ind w:left="425" w:hanging="425"/>
      </w:pPr>
      <w:rPr>
        <w:rFonts w:hint="default"/>
      </w:rPr>
    </w:lvl>
  </w:abstractNum>
  <w:abstractNum w:abstractNumId="10">
    <w:nsid w:val="F2F39E38"/>
    <w:multiLevelType w:val="singleLevel"/>
    <w:tmpl w:val="F2F39E38"/>
    <w:lvl w:ilvl="0" w:tentative="0">
      <w:start w:val="1"/>
      <w:numFmt w:val="decimal"/>
      <w:lvlText w:val="%1."/>
      <w:lvlJc w:val="left"/>
      <w:pPr>
        <w:ind w:left="425" w:hanging="425"/>
      </w:pPr>
      <w:rPr>
        <w:rFonts w:hint="default"/>
      </w:rPr>
    </w:lvl>
  </w:abstractNum>
  <w:abstractNum w:abstractNumId="11">
    <w:nsid w:val="F8E770EC"/>
    <w:multiLevelType w:val="singleLevel"/>
    <w:tmpl w:val="F8E770EC"/>
    <w:lvl w:ilvl="0" w:tentative="0">
      <w:start w:val="1"/>
      <w:numFmt w:val="decimal"/>
      <w:lvlText w:val="%1."/>
      <w:lvlJc w:val="left"/>
      <w:pPr>
        <w:ind w:left="425" w:hanging="425"/>
      </w:pPr>
      <w:rPr>
        <w:rFonts w:hint="default"/>
      </w:rPr>
    </w:lvl>
  </w:abstractNum>
  <w:abstractNum w:abstractNumId="12">
    <w:nsid w:val="00BFAC75"/>
    <w:multiLevelType w:val="singleLevel"/>
    <w:tmpl w:val="00BFAC75"/>
    <w:lvl w:ilvl="0" w:tentative="0">
      <w:start w:val="1"/>
      <w:numFmt w:val="decimal"/>
      <w:lvlText w:val="%1."/>
      <w:lvlJc w:val="left"/>
      <w:pPr>
        <w:ind w:left="425" w:hanging="425"/>
      </w:pPr>
      <w:rPr>
        <w:rFonts w:hint="default"/>
      </w:rPr>
    </w:lvl>
  </w:abstractNum>
  <w:abstractNum w:abstractNumId="13">
    <w:nsid w:val="11044B0E"/>
    <w:multiLevelType w:val="singleLevel"/>
    <w:tmpl w:val="11044B0E"/>
    <w:lvl w:ilvl="0" w:tentative="0">
      <w:start w:val="1"/>
      <w:numFmt w:val="decimal"/>
      <w:lvlText w:val="%1."/>
      <w:lvlJc w:val="left"/>
      <w:pPr>
        <w:ind w:left="425" w:hanging="425"/>
      </w:pPr>
      <w:rPr>
        <w:rFonts w:hint="default"/>
      </w:rPr>
    </w:lvl>
  </w:abstractNum>
  <w:abstractNum w:abstractNumId="14">
    <w:nsid w:val="13E152B2"/>
    <w:multiLevelType w:val="multilevel"/>
    <w:tmpl w:val="13E152B2"/>
    <w:lvl w:ilvl="0" w:tentative="0">
      <w:start w:val="1"/>
      <w:numFmt w:val="decimal"/>
      <w:lvlText w:val="%1."/>
      <w:lvlJc w:val="left"/>
      <w:pPr>
        <w:tabs>
          <w:tab w:val="left" w:pos="360"/>
        </w:tabs>
        <w:ind w:left="360" w:hanging="360"/>
      </w:pPr>
      <w:rPr>
        <w:rFonts w:hint="default"/>
      </w:rPr>
    </w:lvl>
    <w:lvl w:ilvl="1" w:tentative="0">
      <w:start w:val="1"/>
      <w:numFmt w:val="decimal"/>
      <w:lvlText w:val="%2)"/>
      <w:lvlJc w:val="left"/>
      <w:pPr>
        <w:tabs>
          <w:tab w:val="left" w:pos="840"/>
        </w:tabs>
        <w:ind w:left="840" w:hanging="4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47D2664"/>
    <w:multiLevelType w:val="singleLevel"/>
    <w:tmpl w:val="147D2664"/>
    <w:lvl w:ilvl="0" w:tentative="0">
      <w:start w:val="1"/>
      <w:numFmt w:val="decimal"/>
      <w:lvlText w:val="%1."/>
      <w:lvlJc w:val="left"/>
      <w:pPr>
        <w:ind w:left="425" w:hanging="425"/>
      </w:pPr>
      <w:rPr>
        <w:rFonts w:hint="default"/>
      </w:rPr>
    </w:lvl>
  </w:abstractNum>
  <w:abstractNum w:abstractNumId="16">
    <w:nsid w:val="15AA41F2"/>
    <w:multiLevelType w:val="singleLevel"/>
    <w:tmpl w:val="15AA41F2"/>
    <w:lvl w:ilvl="0" w:tentative="0">
      <w:start w:val="1"/>
      <w:numFmt w:val="decimal"/>
      <w:lvlText w:val="%1."/>
      <w:lvlJc w:val="left"/>
      <w:pPr>
        <w:ind w:left="425" w:hanging="425"/>
      </w:pPr>
      <w:rPr>
        <w:rFonts w:hint="default"/>
      </w:rPr>
    </w:lvl>
  </w:abstractNum>
  <w:abstractNum w:abstractNumId="17">
    <w:nsid w:val="20526C02"/>
    <w:multiLevelType w:val="singleLevel"/>
    <w:tmpl w:val="20526C02"/>
    <w:lvl w:ilvl="0" w:tentative="0">
      <w:start w:val="1"/>
      <w:numFmt w:val="decimal"/>
      <w:lvlText w:val="%1."/>
      <w:lvlJc w:val="left"/>
      <w:pPr>
        <w:ind w:left="425" w:hanging="425"/>
      </w:pPr>
      <w:rPr>
        <w:rFonts w:hint="default"/>
      </w:rPr>
    </w:lvl>
  </w:abstractNum>
  <w:abstractNum w:abstractNumId="18">
    <w:nsid w:val="263599CE"/>
    <w:multiLevelType w:val="singleLevel"/>
    <w:tmpl w:val="263599CE"/>
    <w:lvl w:ilvl="0" w:tentative="0">
      <w:start w:val="1"/>
      <w:numFmt w:val="decimal"/>
      <w:lvlText w:val="%1."/>
      <w:lvlJc w:val="left"/>
      <w:pPr>
        <w:ind w:left="425" w:hanging="425"/>
      </w:pPr>
      <w:rPr>
        <w:rFonts w:hint="default"/>
      </w:rPr>
    </w:lvl>
  </w:abstractNum>
  <w:abstractNum w:abstractNumId="19">
    <w:nsid w:val="27476B63"/>
    <w:multiLevelType w:val="singleLevel"/>
    <w:tmpl w:val="27476B63"/>
    <w:lvl w:ilvl="0" w:tentative="0">
      <w:start w:val="1"/>
      <w:numFmt w:val="decimal"/>
      <w:lvlText w:val="%1."/>
      <w:lvlJc w:val="left"/>
      <w:pPr>
        <w:ind w:left="425" w:hanging="425"/>
      </w:pPr>
      <w:rPr>
        <w:rFonts w:hint="default"/>
      </w:rPr>
    </w:lvl>
  </w:abstractNum>
  <w:abstractNum w:abstractNumId="20">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pStyle w:val="7"/>
      <w:lvlText w:val="5.1.1.1.%5"/>
      <w:lvlJc w:val="left"/>
      <w:pPr>
        <w:ind w:left="2142"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21">
    <w:nsid w:val="30CC3777"/>
    <w:multiLevelType w:val="singleLevel"/>
    <w:tmpl w:val="30CC3777"/>
    <w:lvl w:ilvl="0" w:tentative="0">
      <w:start w:val="1"/>
      <w:numFmt w:val="decimal"/>
      <w:lvlText w:val="%1."/>
      <w:lvlJc w:val="left"/>
      <w:pPr>
        <w:ind w:left="425" w:hanging="425"/>
      </w:pPr>
      <w:rPr>
        <w:rFonts w:hint="default"/>
      </w:rPr>
    </w:lvl>
  </w:abstractNum>
  <w:abstractNum w:abstractNumId="22">
    <w:nsid w:val="38573F1B"/>
    <w:multiLevelType w:val="singleLevel"/>
    <w:tmpl w:val="38573F1B"/>
    <w:lvl w:ilvl="0" w:tentative="0">
      <w:start w:val="1"/>
      <w:numFmt w:val="decimal"/>
      <w:lvlText w:val="%1."/>
      <w:lvlJc w:val="left"/>
      <w:pPr>
        <w:ind w:left="425" w:hanging="425"/>
      </w:pPr>
      <w:rPr>
        <w:rFonts w:hint="default"/>
      </w:rPr>
    </w:lvl>
  </w:abstractNum>
  <w:abstractNum w:abstractNumId="23">
    <w:nsid w:val="3EBB3C91"/>
    <w:multiLevelType w:val="multilevel"/>
    <w:tmpl w:val="3EBB3C91"/>
    <w:lvl w:ilvl="0" w:tentative="0">
      <w:start w:val="1"/>
      <w:numFmt w:val="decimal"/>
      <w:pStyle w:val="59"/>
      <w:lvlText w:val="%1. "/>
      <w:lvlJc w:val="left"/>
      <w:pPr>
        <w:ind w:left="420" w:hanging="420"/>
      </w:pPr>
      <w:rPr>
        <w:rFonts w:hint="default" w:ascii="Times New Roman" w:hAnsi="Times New Roman" w:eastAsia="宋体"/>
        <w:b/>
        <w:i w:val="0"/>
      </w:rPr>
    </w:lvl>
    <w:lvl w:ilvl="1" w:tentative="0">
      <w:start w:val="1"/>
      <w:numFmt w:val="decimal"/>
      <w:pStyle w:val="52"/>
      <w:isLgl/>
      <w:suff w:val="space"/>
      <w:lvlText w:val="%1.%2 "/>
      <w:lvlJc w:val="left"/>
      <w:pPr>
        <w:ind w:left="3913" w:hanging="794"/>
      </w:pPr>
      <w:rPr>
        <w:rFonts w:hint="eastAsia"/>
      </w:rPr>
    </w:lvl>
    <w:lvl w:ilvl="2" w:tentative="0">
      <w:start w:val="1"/>
      <w:numFmt w:val="decimal"/>
      <w:pStyle w:val="58"/>
      <w:isLgl/>
      <w:suff w:val="space"/>
      <w:lvlText w:val="%1.%2.%3 "/>
      <w:lvlJc w:val="left"/>
      <w:pPr>
        <w:ind w:left="907" w:hanging="907"/>
      </w:pPr>
      <w:rPr>
        <w:rFonts w:hint="eastAsia"/>
      </w:rPr>
    </w:lvl>
    <w:lvl w:ilvl="3" w:tentative="0">
      <w:start w:val="1"/>
      <w:numFmt w:val="decimal"/>
      <w:pStyle w:val="57"/>
      <w:isLgl/>
      <w:suff w:val="space"/>
      <w:lvlText w:val="%1.%2.%3.%4 "/>
      <w:lvlJc w:val="left"/>
      <w:pPr>
        <w:ind w:left="1021" w:hanging="1021"/>
      </w:pPr>
      <w:rPr>
        <w:rFonts w:hint="eastAsia"/>
      </w:rPr>
    </w:lvl>
    <w:lvl w:ilvl="4" w:tentative="0">
      <w:start w:val="1"/>
      <w:numFmt w:val="decimal"/>
      <w:pStyle w:val="62"/>
      <w:isLgl/>
      <w:suff w:val="space"/>
      <w:lvlText w:val="%1.%2.%3.%4.%5 "/>
      <w:lvlJc w:val="left"/>
      <w:pPr>
        <w:ind w:left="1134" w:hanging="1134"/>
      </w:pPr>
      <w:rPr>
        <w:rFonts w:hint="eastAsia"/>
      </w:rPr>
    </w:lvl>
    <w:lvl w:ilvl="5" w:tentative="0">
      <w:start w:val="1"/>
      <w:numFmt w:val="decimal"/>
      <w:pStyle w:val="56"/>
      <w:isLgl/>
      <w:suff w:val="space"/>
      <w:lvlText w:val="%1.%2.%3.%4.%5.%6 "/>
      <w:lvlJc w:val="left"/>
      <w:pPr>
        <w:ind w:left="1247" w:hanging="1247"/>
      </w:pPr>
      <w:rPr>
        <w:rFonts w:hint="eastAsia"/>
      </w:rPr>
    </w:lvl>
    <w:lvl w:ilvl="6" w:tentative="0">
      <w:start w:val="1"/>
      <w:numFmt w:val="decimal"/>
      <w:lvlRestart w:val="1"/>
      <w:pStyle w:val="51"/>
      <w:isLgl/>
      <w:suff w:val="space"/>
      <w:lvlText w:val="图 %1.%7 "/>
      <w:lvlJc w:val="left"/>
      <w:pPr>
        <w:ind w:left="0" w:firstLine="0"/>
      </w:pPr>
      <w:rPr>
        <w:rFonts w:hint="eastAsia"/>
      </w:rPr>
    </w:lvl>
    <w:lvl w:ilvl="7" w:tentative="0">
      <w:start w:val="1"/>
      <w:numFmt w:val="decimal"/>
      <w:lvlRestart w:val="1"/>
      <w:pStyle w:val="61"/>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4">
    <w:nsid w:val="3FAB461B"/>
    <w:multiLevelType w:val="singleLevel"/>
    <w:tmpl w:val="3FAB461B"/>
    <w:lvl w:ilvl="0" w:tentative="0">
      <w:start w:val="1"/>
      <w:numFmt w:val="decimal"/>
      <w:lvlText w:val="%1."/>
      <w:lvlJc w:val="left"/>
      <w:pPr>
        <w:ind w:left="425" w:hanging="425"/>
      </w:pPr>
      <w:rPr>
        <w:rFonts w:hint="default"/>
      </w:rPr>
    </w:lvl>
  </w:abstractNum>
  <w:abstractNum w:abstractNumId="25">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26">
    <w:nsid w:val="5AED01F8"/>
    <w:multiLevelType w:val="singleLevel"/>
    <w:tmpl w:val="5AED01F8"/>
    <w:lvl w:ilvl="0" w:tentative="0">
      <w:start w:val="1"/>
      <w:numFmt w:val="decimal"/>
      <w:lvlText w:val="%1."/>
      <w:lvlJc w:val="left"/>
      <w:pPr>
        <w:ind w:left="425" w:hanging="425"/>
      </w:pPr>
      <w:rPr>
        <w:rFonts w:hint="default"/>
      </w:rPr>
    </w:lvl>
  </w:abstractNum>
  <w:abstractNum w:abstractNumId="27">
    <w:nsid w:val="5EA6B3DD"/>
    <w:multiLevelType w:val="singleLevel"/>
    <w:tmpl w:val="5EA6B3DD"/>
    <w:lvl w:ilvl="0" w:tentative="0">
      <w:start w:val="1"/>
      <w:numFmt w:val="decimal"/>
      <w:lvlText w:val="%1."/>
      <w:lvlJc w:val="left"/>
      <w:pPr>
        <w:ind w:left="425" w:hanging="425"/>
      </w:pPr>
      <w:rPr>
        <w:rFonts w:hint="default"/>
      </w:rPr>
    </w:lvl>
  </w:abstractNum>
  <w:abstractNum w:abstractNumId="28">
    <w:nsid w:val="704FC487"/>
    <w:multiLevelType w:val="singleLevel"/>
    <w:tmpl w:val="704FC487"/>
    <w:lvl w:ilvl="0" w:tentative="0">
      <w:start w:val="1"/>
      <w:numFmt w:val="decimal"/>
      <w:lvlText w:val="%1."/>
      <w:lvlJc w:val="left"/>
      <w:pPr>
        <w:tabs>
          <w:tab w:val="left" w:pos="312"/>
        </w:tabs>
      </w:pPr>
    </w:lvl>
  </w:abstractNum>
  <w:abstractNum w:abstractNumId="29">
    <w:nsid w:val="72F9D9FB"/>
    <w:multiLevelType w:val="singleLevel"/>
    <w:tmpl w:val="72F9D9FB"/>
    <w:lvl w:ilvl="0" w:tentative="0">
      <w:start w:val="1"/>
      <w:numFmt w:val="decimal"/>
      <w:lvlText w:val="%1."/>
      <w:lvlJc w:val="left"/>
      <w:pPr>
        <w:ind w:left="425" w:hanging="425"/>
      </w:pPr>
      <w:rPr>
        <w:rFonts w:hint="default"/>
      </w:rPr>
    </w:lvl>
  </w:abstractNum>
  <w:abstractNum w:abstractNumId="30">
    <w:nsid w:val="75A36642"/>
    <w:multiLevelType w:val="singleLevel"/>
    <w:tmpl w:val="75A36642"/>
    <w:lvl w:ilvl="0" w:tentative="0">
      <w:start w:val="1"/>
      <w:numFmt w:val="decimal"/>
      <w:lvlText w:val="%1."/>
      <w:lvlJc w:val="left"/>
      <w:pPr>
        <w:ind w:left="425" w:hanging="425"/>
      </w:pPr>
      <w:rPr>
        <w:rFonts w:hint="default"/>
      </w:rPr>
    </w:lvl>
  </w:abstractNum>
  <w:abstractNum w:abstractNumId="31">
    <w:nsid w:val="7A0EDB11"/>
    <w:multiLevelType w:val="singleLevel"/>
    <w:tmpl w:val="7A0EDB11"/>
    <w:lvl w:ilvl="0" w:tentative="0">
      <w:start w:val="1"/>
      <w:numFmt w:val="decimal"/>
      <w:lvlText w:val="%1."/>
      <w:lvlJc w:val="left"/>
      <w:pPr>
        <w:ind w:left="425" w:hanging="425"/>
      </w:pPr>
      <w:rPr>
        <w:rFonts w:hint="default"/>
      </w:rPr>
    </w:lvl>
  </w:abstractNum>
  <w:num w:numId="1">
    <w:abstractNumId w:val="20"/>
  </w:num>
  <w:num w:numId="2">
    <w:abstractNumId w:val="23"/>
  </w:num>
  <w:num w:numId="3">
    <w:abstractNumId w:val="28"/>
  </w:num>
  <w:num w:numId="4">
    <w:abstractNumId w:val="24"/>
  </w:num>
  <w:num w:numId="5">
    <w:abstractNumId w:val="22"/>
  </w:num>
  <w:num w:numId="6">
    <w:abstractNumId w:val="15"/>
  </w:num>
  <w:num w:numId="7">
    <w:abstractNumId w:val="10"/>
  </w:num>
  <w:num w:numId="8">
    <w:abstractNumId w:val="21"/>
  </w:num>
  <w:num w:numId="9">
    <w:abstractNumId w:val="11"/>
  </w:num>
  <w:num w:numId="10">
    <w:abstractNumId w:val="16"/>
  </w:num>
  <w:num w:numId="11">
    <w:abstractNumId w:val="30"/>
  </w:num>
  <w:num w:numId="12">
    <w:abstractNumId w:val="17"/>
  </w:num>
  <w:num w:numId="13">
    <w:abstractNumId w:val="9"/>
  </w:num>
  <w:num w:numId="14">
    <w:abstractNumId w:val="29"/>
  </w:num>
  <w:num w:numId="15">
    <w:abstractNumId w:val="6"/>
  </w:num>
  <w:num w:numId="16">
    <w:abstractNumId w:val="4"/>
  </w:num>
  <w:num w:numId="17">
    <w:abstractNumId w:val="7"/>
  </w:num>
  <w:num w:numId="18">
    <w:abstractNumId w:val="19"/>
  </w:num>
  <w:num w:numId="19">
    <w:abstractNumId w:val="31"/>
  </w:num>
  <w:num w:numId="20">
    <w:abstractNumId w:val="0"/>
  </w:num>
  <w:num w:numId="21">
    <w:abstractNumId w:val="27"/>
  </w:num>
  <w:num w:numId="22">
    <w:abstractNumId w:val="1"/>
  </w:num>
  <w:num w:numId="23">
    <w:abstractNumId w:val="13"/>
  </w:num>
  <w:num w:numId="24">
    <w:abstractNumId w:val="8"/>
  </w:num>
  <w:num w:numId="25">
    <w:abstractNumId w:val="5"/>
  </w:num>
  <w:num w:numId="26">
    <w:abstractNumId w:val="2"/>
  </w:num>
  <w:num w:numId="27">
    <w:abstractNumId w:val="12"/>
  </w:num>
  <w:num w:numId="28">
    <w:abstractNumId w:val="26"/>
  </w:num>
  <w:num w:numId="29">
    <w:abstractNumId w:val="18"/>
  </w:num>
  <w:num w:numId="30">
    <w:abstractNumId w:val="3"/>
  </w:num>
  <w:num w:numId="31">
    <w:abstractNumId w:val="14"/>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1ZDVkMDk3ZjNhODk2ZGQ1MzI5Njk5OTE5MzNjYzIifQ=="/>
  </w:docVars>
  <w:rsids>
    <w:rsidRoot w:val="00303343"/>
    <w:rsid w:val="000051D2"/>
    <w:rsid w:val="000079DD"/>
    <w:rsid w:val="00012DCC"/>
    <w:rsid w:val="00016B63"/>
    <w:rsid w:val="000411CF"/>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2C12"/>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861F5"/>
    <w:rsid w:val="00687E35"/>
    <w:rsid w:val="00697FBB"/>
    <w:rsid w:val="006B2085"/>
    <w:rsid w:val="006B21B8"/>
    <w:rsid w:val="006B7B58"/>
    <w:rsid w:val="006C36EB"/>
    <w:rsid w:val="006D4B15"/>
    <w:rsid w:val="006D59F7"/>
    <w:rsid w:val="006E5E07"/>
    <w:rsid w:val="006F0434"/>
    <w:rsid w:val="00701D12"/>
    <w:rsid w:val="0070239F"/>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867DE"/>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E08"/>
    <w:rsid w:val="009303FA"/>
    <w:rsid w:val="00941F0C"/>
    <w:rsid w:val="00943004"/>
    <w:rsid w:val="00966A88"/>
    <w:rsid w:val="00967504"/>
    <w:rsid w:val="00973A47"/>
    <w:rsid w:val="00981ED8"/>
    <w:rsid w:val="009822C7"/>
    <w:rsid w:val="00982AA3"/>
    <w:rsid w:val="009863EF"/>
    <w:rsid w:val="00986A41"/>
    <w:rsid w:val="0098719A"/>
    <w:rsid w:val="00991FF2"/>
    <w:rsid w:val="0099315B"/>
    <w:rsid w:val="00995DD9"/>
    <w:rsid w:val="009B4476"/>
    <w:rsid w:val="009C1F02"/>
    <w:rsid w:val="009C3783"/>
    <w:rsid w:val="009C4E7E"/>
    <w:rsid w:val="009D6951"/>
    <w:rsid w:val="009D7DD1"/>
    <w:rsid w:val="009E0351"/>
    <w:rsid w:val="009E13D2"/>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06D"/>
    <w:rsid w:val="00B36BD9"/>
    <w:rsid w:val="00B41A4C"/>
    <w:rsid w:val="00B43095"/>
    <w:rsid w:val="00B446CA"/>
    <w:rsid w:val="00B5093C"/>
    <w:rsid w:val="00B54356"/>
    <w:rsid w:val="00B55FE5"/>
    <w:rsid w:val="00B62917"/>
    <w:rsid w:val="00B74609"/>
    <w:rsid w:val="00B752B2"/>
    <w:rsid w:val="00B80E39"/>
    <w:rsid w:val="00B824A5"/>
    <w:rsid w:val="00B83329"/>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00271"/>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95CE8"/>
    <w:rsid w:val="00CA148F"/>
    <w:rsid w:val="00CA29F9"/>
    <w:rsid w:val="00CB6B73"/>
    <w:rsid w:val="00CC218D"/>
    <w:rsid w:val="00CC6334"/>
    <w:rsid w:val="00CC677A"/>
    <w:rsid w:val="00CC76E9"/>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80756"/>
    <w:rsid w:val="00E81E7E"/>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52A53FB"/>
    <w:rsid w:val="06090A85"/>
    <w:rsid w:val="06762AEB"/>
    <w:rsid w:val="087E5B21"/>
    <w:rsid w:val="08B52693"/>
    <w:rsid w:val="0B675EA1"/>
    <w:rsid w:val="0C703887"/>
    <w:rsid w:val="0D6E2AA9"/>
    <w:rsid w:val="0DE6518F"/>
    <w:rsid w:val="132D07E3"/>
    <w:rsid w:val="138E60AD"/>
    <w:rsid w:val="14E41807"/>
    <w:rsid w:val="16895DC2"/>
    <w:rsid w:val="17846299"/>
    <w:rsid w:val="17987A0B"/>
    <w:rsid w:val="19462678"/>
    <w:rsid w:val="1A496CA2"/>
    <w:rsid w:val="1A860B02"/>
    <w:rsid w:val="1B845153"/>
    <w:rsid w:val="208027B1"/>
    <w:rsid w:val="229C61C7"/>
    <w:rsid w:val="24943ED9"/>
    <w:rsid w:val="26FD4795"/>
    <w:rsid w:val="27554044"/>
    <w:rsid w:val="28415559"/>
    <w:rsid w:val="2922556E"/>
    <w:rsid w:val="2B1B14AC"/>
    <w:rsid w:val="2E933762"/>
    <w:rsid w:val="2F21623B"/>
    <w:rsid w:val="308B7150"/>
    <w:rsid w:val="362F28E4"/>
    <w:rsid w:val="3D836785"/>
    <w:rsid w:val="3F7A2278"/>
    <w:rsid w:val="4024626F"/>
    <w:rsid w:val="42200080"/>
    <w:rsid w:val="43BD7E95"/>
    <w:rsid w:val="481E3000"/>
    <w:rsid w:val="4848391D"/>
    <w:rsid w:val="484A67E7"/>
    <w:rsid w:val="488C513A"/>
    <w:rsid w:val="49055465"/>
    <w:rsid w:val="4C336CF9"/>
    <w:rsid w:val="4D6E14DA"/>
    <w:rsid w:val="4F714FA1"/>
    <w:rsid w:val="54AA34DC"/>
    <w:rsid w:val="5792758B"/>
    <w:rsid w:val="588E47D8"/>
    <w:rsid w:val="5E2D27BF"/>
    <w:rsid w:val="5E355398"/>
    <w:rsid w:val="5F23043F"/>
    <w:rsid w:val="5FF73769"/>
    <w:rsid w:val="62400F9F"/>
    <w:rsid w:val="6350137D"/>
    <w:rsid w:val="6512179F"/>
    <w:rsid w:val="661914FD"/>
    <w:rsid w:val="68E74059"/>
    <w:rsid w:val="6A561E73"/>
    <w:rsid w:val="6ED179D4"/>
    <w:rsid w:val="70973F75"/>
    <w:rsid w:val="77CB469A"/>
    <w:rsid w:val="78EA36D2"/>
    <w:rsid w:val="7A6059A3"/>
    <w:rsid w:val="7CF96A9F"/>
    <w:rsid w:val="7DFB4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link w:val="27"/>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link w:val="28"/>
    <w:qFormat/>
    <w:uiPriority w:val="0"/>
    <w:pPr>
      <w:keepNext/>
      <w:keepLines/>
      <w:spacing w:before="260" w:after="260" w:line="416" w:lineRule="auto"/>
      <w:outlineLvl w:val="2"/>
    </w:pPr>
    <w:rPr>
      <w:b/>
      <w:bCs/>
      <w:sz w:val="30"/>
      <w:szCs w:val="30"/>
      <w:lang w:val="zh-CN"/>
    </w:rPr>
  </w:style>
  <w:style w:type="paragraph" w:styleId="6">
    <w:name w:val="heading 4"/>
    <w:basedOn w:val="1"/>
    <w:next w:val="1"/>
    <w:link w:val="29"/>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7">
    <w:name w:val="heading 5"/>
    <w:basedOn w:val="1"/>
    <w:next w:val="1"/>
    <w:link w:val="30"/>
    <w:qFormat/>
    <w:uiPriority w:val="0"/>
    <w:pPr>
      <w:keepNext/>
      <w:keepLines/>
      <w:numPr>
        <w:ilvl w:val="4"/>
        <w:numId w:val="1"/>
      </w:numPr>
      <w:spacing w:before="280" w:after="290" w:line="376" w:lineRule="auto"/>
      <w:outlineLvl w:val="4"/>
    </w:pPr>
    <w:rPr>
      <w:b/>
      <w:bCs/>
      <w:sz w:val="28"/>
      <w:szCs w:val="28"/>
      <w:lang w:val="zh-CN"/>
    </w:rPr>
  </w:style>
  <w:style w:type="paragraph" w:styleId="8">
    <w:name w:val="heading 6"/>
    <w:basedOn w:val="1"/>
    <w:next w:val="1"/>
    <w:link w:val="31"/>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9">
    <w:name w:val="heading 7"/>
    <w:basedOn w:val="1"/>
    <w:next w:val="1"/>
    <w:link w:val="32"/>
    <w:qFormat/>
    <w:uiPriority w:val="0"/>
    <w:pPr>
      <w:keepNext/>
      <w:keepLines/>
      <w:numPr>
        <w:ilvl w:val="6"/>
        <w:numId w:val="1"/>
      </w:numPr>
      <w:spacing w:before="240" w:after="64" w:line="320" w:lineRule="auto"/>
      <w:outlineLvl w:val="6"/>
    </w:pPr>
    <w:rPr>
      <w:b/>
      <w:bCs/>
      <w:sz w:val="24"/>
      <w:lang w:val="zh-CN"/>
    </w:rPr>
  </w:style>
  <w:style w:type="paragraph" w:styleId="10">
    <w:name w:val="heading 8"/>
    <w:basedOn w:val="1"/>
    <w:next w:val="1"/>
    <w:link w:val="33"/>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1">
    <w:name w:val="heading 9"/>
    <w:basedOn w:val="1"/>
    <w:next w:val="1"/>
    <w:link w:val="34"/>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12">
    <w:name w:val="Normal Indent"/>
    <w:basedOn w:val="1"/>
    <w:link w:val="35"/>
    <w:qFormat/>
    <w:uiPriority w:val="99"/>
    <w:pPr>
      <w:spacing w:before="120" w:beforeLines="50" w:line="360" w:lineRule="auto"/>
      <w:ind w:firstLine="512" w:firstLineChars="200"/>
    </w:pPr>
    <w:rPr>
      <w:spacing w:val="8"/>
      <w:sz w:val="24"/>
      <w:szCs w:val="20"/>
    </w:rPr>
  </w:style>
  <w:style w:type="paragraph" w:styleId="13">
    <w:name w:val="annotation text"/>
    <w:basedOn w:val="1"/>
    <w:link w:val="36"/>
    <w:unhideWhenUsed/>
    <w:qFormat/>
    <w:uiPriority w:val="0"/>
    <w:pPr>
      <w:jc w:val="left"/>
    </w:pPr>
    <w:rPr>
      <w:kern w:val="0"/>
      <w:sz w:val="20"/>
      <w:lang w:val="zh-CN"/>
    </w:rPr>
  </w:style>
  <w:style w:type="paragraph" w:styleId="14">
    <w:name w:val="Plain Text"/>
    <w:basedOn w:val="1"/>
    <w:link w:val="37"/>
    <w:qFormat/>
    <w:uiPriority w:val="0"/>
    <w:rPr>
      <w:rFonts w:ascii="Calibri" w:hAnsi="Courier New"/>
      <w:szCs w:val="20"/>
      <w:lang w:val="zh-CN"/>
    </w:rPr>
  </w:style>
  <w:style w:type="paragraph" w:styleId="15">
    <w:name w:val="Balloon Text"/>
    <w:basedOn w:val="1"/>
    <w:link w:val="38"/>
    <w:qFormat/>
    <w:uiPriority w:val="0"/>
    <w:rPr>
      <w:sz w:val="18"/>
      <w:szCs w:val="18"/>
      <w:lang w:val="zh-CN"/>
    </w:rPr>
  </w:style>
  <w:style w:type="paragraph" w:styleId="16">
    <w:name w:val="footer"/>
    <w:basedOn w:val="1"/>
    <w:link w:val="39"/>
    <w:qFormat/>
    <w:uiPriority w:val="0"/>
    <w:pPr>
      <w:tabs>
        <w:tab w:val="center" w:pos="4153"/>
        <w:tab w:val="right" w:pos="8306"/>
      </w:tabs>
      <w:snapToGrid w:val="0"/>
      <w:jc w:val="left"/>
    </w:pPr>
    <w:rPr>
      <w:sz w:val="18"/>
      <w:szCs w:val="18"/>
      <w:lang w:val="zh-CN"/>
    </w:rPr>
  </w:style>
  <w:style w:type="paragraph" w:styleId="17">
    <w:name w:val="header"/>
    <w:basedOn w:val="1"/>
    <w:link w:val="40"/>
    <w:qFormat/>
    <w:uiPriority w:val="0"/>
    <w:pPr>
      <w:pBdr>
        <w:bottom w:val="single" w:color="auto" w:sz="6" w:space="1"/>
      </w:pBdr>
      <w:tabs>
        <w:tab w:val="center" w:pos="4153"/>
        <w:tab w:val="right" w:pos="8306"/>
      </w:tabs>
      <w:snapToGrid w:val="0"/>
      <w:jc w:val="center"/>
    </w:pPr>
    <w:rPr>
      <w:sz w:val="18"/>
      <w:szCs w:val="18"/>
      <w:lang w:val="zh-CN"/>
    </w:rPr>
  </w:style>
  <w:style w:type="paragraph" w:styleId="18">
    <w:name w:val="Subtitle"/>
    <w:basedOn w:val="1"/>
    <w:next w:val="1"/>
    <w:link w:val="65"/>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1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21">
    <w:name w:val="Table Grid"/>
    <w:basedOn w:val="2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3">
    <w:name w:val="FollowedHyperlink"/>
    <w:basedOn w:val="22"/>
    <w:qFormat/>
    <w:uiPriority w:val="0"/>
    <w:rPr>
      <w:color w:val="800080"/>
      <w:u w:val="single"/>
    </w:rPr>
  </w:style>
  <w:style w:type="character" w:styleId="24">
    <w:name w:val="Hyperlink"/>
    <w:qFormat/>
    <w:uiPriority w:val="0"/>
    <w:rPr>
      <w:color w:val="0563C1"/>
      <w:u w:val="single"/>
    </w:rPr>
  </w:style>
  <w:style w:type="character" w:styleId="25">
    <w:name w:val="annotation reference"/>
    <w:unhideWhenUsed/>
    <w:qFormat/>
    <w:uiPriority w:val="99"/>
    <w:rPr>
      <w:sz w:val="21"/>
      <w:szCs w:val="21"/>
    </w:rPr>
  </w:style>
  <w:style w:type="character" w:customStyle="1" w:styleId="26">
    <w:name w:val="标题 1 字符"/>
    <w:link w:val="3"/>
    <w:qFormat/>
    <w:uiPriority w:val="0"/>
    <w:rPr>
      <w:b/>
      <w:bCs/>
      <w:kern w:val="44"/>
      <w:sz w:val="44"/>
      <w:szCs w:val="44"/>
      <w:lang w:val="zh-CN" w:eastAsia="zh-CN"/>
    </w:rPr>
  </w:style>
  <w:style w:type="character" w:customStyle="1" w:styleId="27">
    <w:name w:val="标题 2 字符"/>
    <w:link w:val="4"/>
    <w:qFormat/>
    <w:uiPriority w:val="0"/>
    <w:rPr>
      <w:rFonts w:ascii="等线 Light" w:hAnsi="等线 Light" w:eastAsia="等线 Light" w:cs="Times New Roman"/>
      <w:b/>
      <w:bCs/>
      <w:kern w:val="2"/>
      <w:sz w:val="32"/>
      <w:szCs w:val="32"/>
    </w:rPr>
  </w:style>
  <w:style w:type="character" w:customStyle="1" w:styleId="28">
    <w:name w:val="标题 3 字符"/>
    <w:link w:val="5"/>
    <w:qFormat/>
    <w:uiPriority w:val="0"/>
    <w:rPr>
      <w:b/>
      <w:bCs/>
      <w:kern w:val="2"/>
      <w:sz w:val="30"/>
      <w:szCs w:val="30"/>
    </w:rPr>
  </w:style>
  <w:style w:type="character" w:customStyle="1" w:styleId="29">
    <w:name w:val="标题 4 字符"/>
    <w:link w:val="6"/>
    <w:qFormat/>
    <w:uiPriority w:val="0"/>
    <w:rPr>
      <w:rFonts w:ascii="宋体" w:hAnsi="宋体"/>
      <w:b/>
      <w:bCs/>
      <w:kern w:val="2"/>
      <w:sz w:val="28"/>
      <w:szCs w:val="28"/>
    </w:rPr>
  </w:style>
  <w:style w:type="character" w:customStyle="1" w:styleId="30">
    <w:name w:val="标题 5 字符"/>
    <w:link w:val="7"/>
    <w:qFormat/>
    <w:uiPriority w:val="0"/>
    <w:rPr>
      <w:b/>
      <w:bCs/>
      <w:kern w:val="2"/>
      <w:sz w:val="28"/>
      <w:szCs w:val="28"/>
    </w:rPr>
  </w:style>
  <w:style w:type="character" w:customStyle="1" w:styleId="31">
    <w:name w:val="标题 6 字符"/>
    <w:link w:val="8"/>
    <w:semiHidden/>
    <w:qFormat/>
    <w:uiPriority w:val="0"/>
    <w:rPr>
      <w:rFonts w:ascii="等线 Light" w:hAnsi="等线 Light" w:eastAsia="等线 Light"/>
      <w:b/>
      <w:bCs/>
      <w:kern w:val="2"/>
      <w:sz w:val="24"/>
      <w:szCs w:val="24"/>
    </w:rPr>
  </w:style>
  <w:style w:type="character" w:customStyle="1" w:styleId="32">
    <w:name w:val="标题 7 字符"/>
    <w:link w:val="9"/>
    <w:semiHidden/>
    <w:qFormat/>
    <w:uiPriority w:val="0"/>
    <w:rPr>
      <w:b/>
      <w:bCs/>
      <w:kern w:val="2"/>
      <w:sz w:val="24"/>
      <w:szCs w:val="24"/>
    </w:rPr>
  </w:style>
  <w:style w:type="character" w:customStyle="1" w:styleId="33">
    <w:name w:val="标题 8 字符"/>
    <w:link w:val="10"/>
    <w:semiHidden/>
    <w:qFormat/>
    <w:uiPriority w:val="0"/>
    <w:rPr>
      <w:rFonts w:ascii="等线 Light" w:hAnsi="等线 Light" w:eastAsia="等线 Light"/>
      <w:kern w:val="2"/>
      <w:sz w:val="24"/>
      <w:szCs w:val="24"/>
    </w:rPr>
  </w:style>
  <w:style w:type="character" w:customStyle="1" w:styleId="34">
    <w:name w:val="标题 9 字符"/>
    <w:link w:val="11"/>
    <w:semiHidden/>
    <w:qFormat/>
    <w:uiPriority w:val="0"/>
    <w:rPr>
      <w:rFonts w:ascii="等线 Light" w:hAnsi="等线 Light" w:eastAsia="等线 Light"/>
      <w:kern w:val="2"/>
      <w:sz w:val="21"/>
      <w:szCs w:val="21"/>
    </w:rPr>
  </w:style>
  <w:style w:type="character" w:customStyle="1" w:styleId="35">
    <w:name w:val="正文缩进 字符"/>
    <w:link w:val="12"/>
    <w:qFormat/>
    <w:uiPriority w:val="99"/>
    <w:rPr>
      <w:spacing w:val="8"/>
      <w:kern w:val="2"/>
      <w:sz w:val="24"/>
      <w:lang w:val="en-US" w:eastAsia="zh-CN"/>
    </w:rPr>
  </w:style>
  <w:style w:type="character" w:customStyle="1" w:styleId="36">
    <w:name w:val="批注文字 字符1"/>
    <w:link w:val="13"/>
    <w:qFormat/>
    <w:uiPriority w:val="0"/>
    <w:rPr>
      <w:szCs w:val="24"/>
    </w:rPr>
  </w:style>
  <w:style w:type="character" w:customStyle="1" w:styleId="37">
    <w:name w:val="纯文本 字符"/>
    <w:link w:val="14"/>
    <w:qFormat/>
    <w:uiPriority w:val="0"/>
    <w:rPr>
      <w:rFonts w:ascii="Calibri" w:hAnsi="Courier New"/>
      <w:kern w:val="2"/>
      <w:sz w:val="21"/>
    </w:rPr>
  </w:style>
  <w:style w:type="character" w:customStyle="1" w:styleId="38">
    <w:name w:val="批注框文本 字符"/>
    <w:link w:val="15"/>
    <w:qFormat/>
    <w:uiPriority w:val="0"/>
    <w:rPr>
      <w:kern w:val="2"/>
      <w:sz w:val="18"/>
      <w:szCs w:val="18"/>
    </w:rPr>
  </w:style>
  <w:style w:type="character" w:customStyle="1" w:styleId="39">
    <w:name w:val="页脚 字符1"/>
    <w:link w:val="16"/>
    <w:qFormat/>
    <w:uiPriority w:val="0"/>
    <w:rPr>
      <w:kern w:val="2"/>
      <w:sz w:val="18"/>
      <w:szCs w:val="18"/>
    </w:rPr>
  </w:style>
  <w:style w:type="character" w:customStyle="1" w:styleId="40">
    <w:name w:val="页眉 字符"/>
    <w:link w:val="17"/>
    <w:qFormat/>
    <w:uiPriority w:val="0"/>
    <w:rPr>
      <w:kern w:val="2"/>
      <w:sz w:val="18"/>
      <w:szCs w:val="18"/>
    </w:rPr>
  </w:style>
  <w:style w:type="character" w:customStyle="1" w:styleId="41">
    <w:name w:val="已访问的超链接1"/>
    <w:qFormat/>
    <w:uiPriority w:val="0"/>
    <w:rPr>
      <w:color w:val="800080"/>
      <w:u w:val="single"/>
    </w:rPr>
  </w:style>
  <w:style w:type="character" w:customStyle="1" w:styleId="42">
    <w:name w:val="正文（首行缩进2字符） Char"/>
    <w:link w:val="43"/>
    <w:qFormat/>
    <w:uiPriority w:val="0"/>
    <w:rPr>
      <w:kern w:val="2"/>
      <w:sz w:val="24"/>
      <w:szCs w:val="24"/>
    </w:rPr>
  </w:style>
  <w:style w:type="paragraph" w:customStyle="1" w:styleId="43">
    <w:name w:val="正文（首行缩进2字符）"/>
    <w:basedOn w:val="1"/>
    <w:link w:val="42"/>
    <w:qFormat/>
    <w:uiPriority w:val="0"/>
    <w:pPr>
      <w:spacing w:line="360" w:lineRule="auto"/>
      <w:ind w:firstLine="480" w:firstLineChars="200"/>
    </w:pPr>
    <w:rPr>
      <w:sz w:val="24"/>
      <w:lang w:val="zh-CN"/>
    </w:rPr>
  </w:style>
  <w:style w:type="character" w:customStyle="1" w:styleId="44">
    <w:name w:val="段落 Char1"/>
    <w:link w:val="45"/>
    <w:qFormat/>
    <w:uiPriority w:val="0"/>
    <w:rPr>
      <w:rFonts w:eastAsia="仿宋_GB2312"/>
      <w:sz w:val="24"/>
      <w:szCs w:val="24"/>
      <w:lang w:val="en-US" w:eastAsia="zh-CN" w:bidi="ar-SA"/>
    </w:rPr>
  </w:style>
  <w:style w:type="paragraph" w:customStyle="1" w:styleId="45">
    <w:name w:val="段落"/>
    <w:link w:val="44"/>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6">
    <w:name w:val="正文（安华金和） Char"/>
    <w:link w:val="47"/>
    <w:qFormat/>
    <w:uiPriority w:val="0"/>
    <w:rPr>
      <w:rFonts w:ascii="Arial" w:hAnsi="Arial"/>
      <w:sz w:val="21"/>
      <w:szCs w:val="21"/>
      <w:lang w:val="en-US" w:eastAsia="zh-CN" w:bidi="ar-SA"/>
    </w:rPr>
  </w:style>
  <w:style w:type="paragraph" w:customStyle="1" w:styleId="47">
    <w:name w:val="正文（安华金和）"/>
    <w:link w:val="46"/>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48">
    <w:name w:val="页脚 字符"/>
    <w:qFormat/>
    <w:uiPriority w:val="99"/>
  </w:style>
  <w:style w:type="character" w:customStyle="1" w:styleId="49">
    <w:name w:val="列表段落 字符"/>
    <w:link w:val="50"/>
    <w:qFormat/>
    <w:uiPriority w:val="34"/>
    <w:rPr>
      <w:rFonts w:ascii="等线" w:hAnsi="等线" w:eastAsia="等线"/>
      <w:kern w:val="2"/>
      <w:sz w:val="21"/>
      <w:szCs w:val="22"/>
    </w:rPr>
  </w:style>
  <w:style w:type="paragraph" w:styleId="50">
    <w:name w:val="List Paragraph"/>
    <w:basedOn w:val="1"/>
    <w:link w:val="49"/>
    <w:qFormat/>
    <w:uiPriority w:val="34"/>
    <w:pPr>
      <w:ind w:firstLine="420" w:firstLineChars="200"/>
    </w:pPr>
    <w:rPr>
      <w:rFonts w:ascii="等线" w:hAnsi="等线" w:eastAsia="等线"/>
      <w:szCs w:val="22"/>
      <w:lang w:val="zh-CN"/>
    </w:rPr>
  </w:style>
  <w:style w:type="paragraph" w:customStyle="1" w:styleId="51">
    <w:name w:val="插图标注（安华金和）"/>
    <w:next w:val="1"/>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2">
    <w:name w:val="标题 2（DBSec）"/>
    <w:basedOn w:val="4"/>
    <w:next w:val="1"/>
    <w:qFormat/>
    <w:uiPriority w:val="0"/>
    <w:pPr>
      <w:numPr>
        <w:ilvl w:val="1"/>
        <w:numId w:val="2"/>
      </w:numPr>
      <w:spacing w:line="415" w:lineRule="auto"/>
      <w:ind w:left="794" w:leftChars="200"/>
      <w:jc w:val="left"/>
    </w:pPr>
    <w:rPr>
      <w:rFonts w:ascii="Arial" w:hAnsi="Arial" w:eastAsia="黑体"/>
      <w:bCs w:val="0"/>
    </w:rPr>
  </w:style>
  <w:style w:type="paragraph" w:customStyle="1" w:styleId="53">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4">
    <w:name w:val="_Style 27"/>
    <w:basedOn w:val="1"/>
    <w:next w:val="50"/>
    <w:qFormat/>
    <w:uiPriority w:val="34"/>
    <w:pPr>
      <w:widowControl/>
      <w:spacing w:line="240" w:lineRule="atLeast"/>
      <w:ind w:firstLine="420" w:firstLineChars="200"/>
    </w:pPr>
    <w:rPr>
      <w:rFonts w:ascii="Arial" w:hAnsi="Arial"/>
      <w:kern w:val="0"/>
      <w:szCs w:val="21"/>
    </w:rPr>
  </w:style>
  <w:style w:type="paragraph" w:customStyle="1" w:styleId="55">
    <w:name w:val="列出段落2"/>
    <w:basedOn w:val="1"/>
    <w:qFormat/>
    <w:uiPriority w:val="99"/>
    <w:pPr>
      <w:widowControl/>
      <w:spacing w:line="240" w:lineRule="atLeast"/>
      <w:ind w:firstLine="420" w:firstLineChars="200"/>
    </w:pPr>
    <w:rPr>
      <w:rFonts w:ascii="Arial" w:hAnsi="Arial"/>
      <w:kern w:val="0"/>
      <w:szCs w:val="21"/>
    </w:rPr>
  </w:style>
  <w:style w:type="paragraph" w:customStyle="1" w:styleId="56">
    <w:name w:val="标题 6（有编号）（安华金和）"/>
    <w:basedOn w:val="1"/>
    <w:next w:val="1"/>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57">
    <w:name w:val="标题 4（DBSec）"/>
    <w:basedOn w:val="6"/>
    <w:next w:val="1"/>
    <w:qFormat/>
    <w:uiPriority w:val="0"/>
    <w:pPr>
      <w:widowControl/>
      <w:numPr>
        <w:numId w:val="2"/>
      </w:numPr>
      <w:spacing w:after="156"/>
      <w:ind w:left="200" w:leftChars="200"/>
      <w:jc w:val="left"/>
    </w:pPr>
    <w:rPr>
      <w:rFonts w:ascii="Arial" w:hAnsi="Arial" w:eastAsia="黑体"/>
      <w:bCs w:val="0"/>
      <w:kern w:val="0"/>
    </w:rPr>
  </w:style>
  <w:style w:type="paragraph" w:customStyle="1" w:styleId="58">
    <w:name w:val="标题 3（DBSec）"/>
    <w:basedOn w:val="5"/>
    <w:next w:val="1"/>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59">
    <w:name w:val="标题 1（DBSec）"/>
    <w:basedOn w:val="3"/>
    <w:next w:val="1"/>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0">
    <w:name w:val="彩色列表 - 着色 11"/>
    <w:basedOn w:val="1"/>
    <w:qFormat/>
    <w:uiPriority w:val="34"/>
    <w:pPr>
      <w:spacing w:line="360" w:lineRule="auto"/>
      <w:ind w:firstLine="420" w:firstLineChars="200"/>
    </w:pPr>
    <w:rPr>
      <w:rFonts w:ascii="Arial" w:hAnsi="Arial"/>
      <w:szCs w:val="21"/>
    </w:rPr>
  </w:style>
  <w:style w:type="paragraph" w:customStyle="1" w:styleId="61">
    <w:name w:val="表格标注（安华金和）"/>
    <w:basedOn w:val="51"/>
    <w:next w:val="1"/>
    <w:qFormat/>
    <w:uiPriority w:val="0"/>
    <w:pPr>
      <w:numPr>
        <w:ilvl w:val="7"/>
      </w:numPr>
    </w:pPr>
  </w:style>
  <w:style w:type="paragraph" w:customStyle="1" w:styleId="62">
    <w:name w:val="标题 5（有编号）（安华金和）"/>
    <w:basedOn w:val="1"/>
    <w:next w:val="1"/>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3">
    <w:name w:val="List Paragraph11"/>
    <w:basedOn w:val="1"/>
    <w:next w:val="1"/>
    <w:qFormat/>
    <w:uiPriority w:val="34"/>
    <w:pPr>
      <w:spacing w:line="360" w:lineRule="auto"/>
      <w:ind w:firstLine="420" w:firstLineChars="200"/>
    </w:pPr>
    <w:rPr>
      <w:rFonts w:ascii="Verdana" w:hAnsi="Verdana"/>
      <w:color w:val="000000"/>
      <w:sz w:val="20"/>
      <w:szCs w:val="20"/>
    </w:rPr>
  </w:style>
  <w:style w:type="character" w:customStyle="1" w:styleId="64">
    <w:name w:val="批注文字 字符"/>
    <w:qFormat/>
    <w:uiPriority w:val="99"/>
    <w:rPr>
      <w:kern w:val="2"/>
      <w:sz w:val="21"/>
      <w:szCs w:val="24"/>
    </w:rPr>
  </w:style>
  <w:style w:type="character" w:customStyle="1" w:styleId="65">
    <w:name w:val="副标题 字符"/>
    <w:link w:val="18"/>
    <w:qFormat/>
    <w:uiPriority w:val="0"/>
    <w:rPr>
      <w:rFonts w:ascii="Cambria" w:hAnsi="Cambria"/>
      <w:b/>
      <w:bCs/>
      <w:kern w:val="28"/>
      <w:sz w:val="32"/>
      <w:szCs w:val="32"/>
      <w:lang w:eastAsia="en-US"/>
    </w:rPr>
  </w:style>
  <w:style w:type="character" w:customStyle="1" w:styleId="66">
    <w:name w:val="font01"/>
    <w:basedOn w:val="22"/>
    <w:qFormat/>
    <w:uiPriority w:val="0"/>
    <w:rPr>
      <w:rFonts w:hint="eastAsia" w:ascii="等线" w:hAnsi="等线" w:eastAsia="等线" w:cs="等线"/>
      <w:color w:val="000000"/>
      <w:sz w:val="22"/>
      <w:szCs w:val="22"/>
      <w:u w:val="none"/>
    </w:rPr>
  </w:style>
  <w:style w:type="character" w:customStyle="1" w:styleId="67">
    <w:name w:val="font11"/>
    <w:basedOn w:val="22"/>
    <w:qFormat/>
    <w:uiPriority w:val="0"/>
    <w:rPr>
      <w:rFonts w:hint="eastAsia" w:ascii="等线" w:hAnsi="等线" w:eastAsia="等线" w:cs="等线"/>
      <w:color w:val="FF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8919</Words>
  <Characters>8997</Characters>
  <Lines>198</Lines>
  <Paragraphs>55</Paragraphs>
  <TotalTime>29</TotalTime>
  <ScaleCrop>false</ScaleCrop>
  <LinksUpToDate>false</LinksUpToDate>
  <CharactersWithSpaces>9011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2022-01-06T02:42:00Z</dcterms:created>
  <dc:creator>陈永辉</dc:creator>
  <cp:lastModifiedBy>姚俏玲</cp:lastModifiedBy>
  <dcterms:modified xsi:type="dcterms:W3CDTF">2023-05-04T00:43:33Z</dcterms:modified>
  <dc:title>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D64C7732B4F54415A5EB4DD414B3FE74_13</vt:lpwstr>
  </property>
</Properties>
</file>